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02D66" w14:textId="55B8D6B2" w:rsidR="00D2627E" w:rsidRPr="001274AF" w:rsidRDefault="001274AF" w:rsidP="005544B8">
      <w:pPr>
        <w:spacing w:after="0"/>
        <w:jc w:val="both"/>
        <w:rPr>
          <w:bCs/>
          <w:color w:val="87BE28"/>
          <w:sz w:val="36"/>
          <w:szCs w:val="36"/>
          <w:lang w:val="fr-FR"/>
        </w:rPr>
      </w:pPr>
      <w:r w:rsidRPr="001274AF">
        <w:rPr>
          <w:b/>
          <w:color w:val="87BE28"/>
          <w:sz w:val="36"/>
          <w:szCs w:val="36"/>
          <w:lang w:val="fr-FR"/>
        </w:rPr>
        <w:t>Étape 3 : Mobilisation des ressources</w:t>
      </w:r>
      <w:r w:rsidR="00D2627E" w:rsidRPr="005B3F4C">
        <w:rPr>
          <w:b/>
          <w:noProof/>
          <w:color w:val="FFC000" w:themeColor="accent4"/>
          <w:sz w:val="36"/>
          <w:szCs w:val="36"/>
          <w:lang w:val="fr-FR" w:eastAsia="fr-FR"/>
        </w:rPr>
        <w:drawing>
          <wp:anchor distT="0" distB="0" distL="114300" distR="114300" simplePos="0" relativeHeight="251668480" behindDoc="0" locked="0" layoutInCell="1" allowOverlap="1" wp14:anchorId="142E7DD6" wp14:editId="466C4833">
            <wp:simplePos x="0" y="0"/>
            <wp:positionH relativeFrom="margin">
              <wp:align>left</wp:align>
            </wp:positionH>
            <wp:positionV relativeFrom="paragraph">
              <wp:posOffset>0</wp:posOffset>
            </wp:positionV>
            <wp:extent cx="600075" cy="570230"/>
            <wp:effectExtent l="0" t="0" r="9525" b="127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0075" cy="570230"/>
                    </a:xfrm>
                    <a:prstGeom prst="rect">
                      <a:avLst/>
                    </a:prstGeom>
                  </pic:spPr>
                </pic:pic>
              </a:graphicData>
            </a:graphic>
            <wp14:sizeRelH relativeFrom="margin">
              <wp14:pctWidth>0</wp14:pctWidth>
            </wp14:sizeRelH>
            <wp14:sizeRelV relativeFrom="margin">
              <wp14:pctHeight>0</wp14:pctHeight>
            </wp14:sizeRelV>
          </wp:anchor>
        </w:drawing>
      </w:r>
      <w:r w:rsidRPr="001274AF">
        <w:rPr>
          <w:b/>
          <w:color w:val="87BE28"/>
          <w:sz w:val="36"/>
          <w:szCs w:val="36"/>
          <w:lang w:val="fr-FR"/>
        </w:rPr>
        <w:t xml:space="preserve">   </w:t>
      </w:r>
      <w:r w:rsidR="00D2627E" w:rsidRPr="001274AF">
        <w:rPr>
          <w:bCs/>
          <w:color w:val="87BE28"/>
          <w:sz w:val="36"/>
          <w:szCs w:val="36"/>
          <w:lang w:val="fr-FR"/>
        </w:rPr>
        <w:t xml:space="preserve"> </w:t>
      </w:r>
    </w:p>
    <w:p w14:paraId="0B80178A" w14:textId="1CADD567" w:rsidR="00D2627E" w:rsidRPr="001274AF" w:rsidRDefault="001274AF" w:rsidP="00D90ACE">
      <w:pPr>
        <w:spacing w:after="0"/>
        <w:ind w:left="357"/>
        <w:jc w:val="both"/>
        <w:rPr>
          <w:bCs/>
          <w:color w:val="87BE28"/>
          <w:sz w:val="36"/>
          <w:szCs w:val="36"/>
          <w:lang w:val="fr-FR"/>
        </w:rPr>
      </w:pPr>
      <w:r w:rsidRPr="001274AF">
        <w:rPr>
          <w:bCs/>
          <w:color w:val="87BE28"/>
          <w:sz w:val="36"/>
          <w:szCs w:val="36"/>
          <w:lang w:val="fr-FR"/>
        </w:rPr>
        <w:t xml:space="preserve">Pratiques </w:t>
      </w:r>
      <w:r w:rsidR="00007FA1">
        <w:rPr>
          <w:bCs/>
          <w:color w:val="87BE28"/>
          <w:sz w:val="36"/>
          <w:szCs w:val="36"/>
          <w:lang w:val="fr-FR"/>
        </w:rPr>
        <w:t xml:space="preserve">et ressources </w:t>
      </w:r>
      <w:r w:rsidRPr="001274AF">
        <w:rPr>
          <w:bCs/>
          <w:color w:val="87BE28"/>
          <w:sz w:val="36"/>
          <w:szCs w:val="36"/>
          <w:lang w:val="fr-FR"/>
        </w:rPr>
        <w:t>prometteu</w:t>
      </w:r>
      <w:r w:rsidR="00007FA1">
        <w:rPr>
          <w:bCs/>
          <w:color w:val="87BE28"/>
          <w:sz w:val="36"/>
          <w:szCs w:val="36"/>
          <w:lang w:val="fr-FR"/>
        </w:rPr>
        <w:t xml:space="preserve">ses </w:t>
      </w:r>
      <w:r>
        <w:rPr>
          <w:bCs/>
          <w:color w:val="87BE28"/>
          <w:sz w:val="36"/>
          <w:szCs w:val="36"/>
          <w:lang w:val="fr-FR"/>
        </w:rPr>
        <w:t>des Clusters</w:t>
      </w:r>
      <w:r w:rsidRPr="001274AF">
        <w:rPr>
          <w:bCs/>
          <w:color w:val="87BE28"/>
          <w:sz w:val="36"/>
          <w:szCs w:val="36"/>
          <w:lang w:val="fr-FR"/>
        </w:rPr>
        <w:t xml:space="preserve"> pays   </w:t>
      </w:r>
    </w:p>
    <w:p w14:paraId="446F98F9" w14:textId="1D16C9A0" w:rsidR="003B2D91" w:rsidRPr="00124068" w:rsidRDefault="003B2D91" w:rsidP="003B2D91">
      <w:pPr>
        <w:spacing w:before="240"/>
        <w:jc w:val="both"/>
        <w:rPr>
          <w:bCs/>
          <w:lang w:val="fr-FR"/>
        </w:rPr>
      </w:pPr>
      <w:r w:rsidRPr="00D2627E">
        <w:rPr>
          <w:b/>
          <w:noProof/>
          <w:color w:val="87BE28"/>
          <w:sz w:val="20"/>
          <w:szCs w:val="20"/>
          <w:lang w:val="fr-FR" w:eastAsia="fr-FR"/>
        </w:rPr>
        <mc:AlternateContent>
          <mc:Choice Requires="wps">
            <w:drawing>
              <wp:anchor distT="0" distB="0" distL="114300" distR="114300" simplePos="0" relativeHeight="251664384" behindDoc="0" locked="0" layoutInCell="1" allowOverlap="1" wp14:anchorId="1780AD65" wp14:editId="0C08719E">
                <wp:simplePos x="0" y="0"/>
                <wp:positionH relativeFrom="column">
                  <wp:posOffset>1756410</wp:posOffset>
                </wp:positionH>
                <wp:positionV relativeFrom="paragraph">
                  <wp:posOffset>819150</wp:posOffset>
                </wp:positionV>
                <wp:extent cx="257175" cy="506730"/>
                <wp:effectExtent l="19050" t="0" r="47625" b="26670"/>
                <wp:wrapNone/>
                <wp:docPr id="7" name="Arrow: Chevron 7"/>
                <wp:cNvGraphicFramePr/>
                <a:graphic xmlns:a="http://schemas.openxmlformats.org/drawingml/2006/main">
                  <a:graphicData uri="http://schemas.microsoft.com/office/word/2010/wordprocessingShape">
                    <wps:wsp>
                      <wps:cNvSpPr/>
                      <wps:spPr>
                        <a:xfrm flipV="1">
                          <a:off x="0" y="0"/>
                          <a:ext cx="257175" cy="506730"/>
                        </a:xfrm>
                        <a:prstGeom prst="chevron">
                          <a:avLst>
                            <a:gd name="adj" fmla="val 47469"/>
                          </a:avLst>
                        </a:prstGeom>
                        <a:solidFill>
                          <a:srgbClr val="87BE28"/>
                        </a:solidFill>
                        <a:ln>
                          <a:solidFill>
                            <a:srgbClr val="87BE28"/>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000BEE17"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7" o:spid="_x0000_s1026" type="#_x0000_t55" style="position:absolute;margin-left:138.3pt;margin-top:64.5pt;width:20.25pt;height:39.9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" adj="11347" fillcolor="#87be28" strokecolor="#87be28" strokeweight=".5pt"/>
            </w:pict>
          </mc:Fallback>
        </mc:AlternateContent>
      </w:r>
      <w:r>
        <w:rPr>
          <w:bCs/>
          <w:lang w:val="fr-FR"/>
        </w:rPr>
        <w:t xml:space="preserve">Le </w:t>
      </w:r>
      <w:r w:rsidRPr="00124068">
        <w:rPr>
          <w:bCs/>
          <w:lang w:val="fr-FR"/>
        </w:rPr>
        <w:t xml:space="preserve">tableau suivant contient les pratiques prometteuses de collaboration CP-EiE des groupes de pays et, le cas échéant, les ressources qu’ils ont utilisées. Les exemples sont classés selon la structure du </w:t>
      </w:r>
      <w:hyperlink r:id="rId9" w:history="1">
        <w:r w:rsidRPr="00426D46">
          <w:rPr>
            <w:rStyle w:val="Hyperlink"/>
            <w:bCs/>
            <w:lang w:val="fr-FR"/>
          </w:rPr>
          <w:t>cadre de collaboration CP-EiE</w:t>
        </w:r>
      </w:hyperlink>
      <w:r w:rsidRPr="00124068">
        <w:rPr>
          <w:bCs/>
          <w:lang w:val="fr-FR"/>
        </w:rPr>
        <w:t xml:space="preserve">. Les ressources mondiales liées à ces étapes sont incluses à la fin. </w:t>
      </w:r>
      <w:r w:rsidRPr="009C32F2">
        <w:rPr>
          <w:bCs/>
          <w:i/>
          <w:lang w:val="fr-FR"/>
        </w:rPr>
        <w:t xml:space="preserve">Il s’agit d’une compilation vivante de pratiques prometteuses; si vous avez des exemples ou des outils à ajouter, </w:t>
      </w:r>
      <w:hyperlink r:id="rId10" w:history="1">
        <w:r w:rsidRPr="008A39B4">
          <w:rPr>
            <w:rStyle w:val="Hyperlink"/>
            <w:bCs/>
            <w:i/>
            <w:iCs/>
            <w:lang w:val="fr-FR"/>
          </w:rPr>
          <w:t>veuillez nous contacter </w:t>
        </w:r>
      </w:hyperlink>
      <w:r w:rsidRPr="009C4D1B">
        <w:rPr>
          <w:bCs/>
          <w:i/>
          <w:iCs/>
          <w:lang w:val="fr-FR"/>
        </w:rPr>
        <w:t>!</w:t>
      </w:r>
    </w:p>
    <w:tbl>
      <w:tblPr>
        <w:tblStyle w:val="TableGrid"/>
        <w:tblW w:w="14601" w:type="dxa"/>
        <w:tblInd w:w="-866" w:type="dxa"/>
        <w:tblBorders>
          <w:top w:val="single" w:sz="12" w:space="0" w:color="87BE28"/>
          <w:left w:val="single" w:sz="12" w:space="0" w:color="87BE28"/>
          <w:bottom w:val="single" w:sz="12" w:space="0" w:color="87BE28"/>
          <w:right w:val="single" w:sz="12" w:space="0" w:color="87BE28"/>
          <w:insideH w:val="single" w:sz="12" w:space="0" w:color="87BE28"/>
          <w:insideV w:val="single" w:sz="12" w:space="0" w:color="87BE28"/>
        </w:tblBorders>
        <w:tblLayout w:type="fixed"/>
        <w:tblLook w:val="04A0" w:firstRow="1" w:lastRow="0" w:firstColumn="1" w:lastColumn="0" w:noHBand="0" w:noVBand="1"/>
      </w:tblPr>
      <w:tblGrid>
        <w:gridCol w:w="3828"/>
        <w:gridCol w:w="1418"/>
        <w:gridCol w:w="9355"/>
      </w:tblGrid>
      <w:tr w:rsidR="00B0524B" w:rsidRPr="00E437A5" w14:paraId="74BB377A" w14:textId="77777777" w:rsidTr="003B2D91">
        <w:tc>
          <w:tcPr>
            <w:tcW w:w="3828" w:type="dxa"/>
          </w:tcPr>
          <w:p w14:paraId="343A7621" w14:textId="49DC2225" w:rsidR="001274AF" w:rsidRPr="001274AF" w:rsidRDefault="001274AF" w:rsidP="001274AF">
            <w:pPr>
              <w:spacing w:before="40" w:after="40"/>
              <w:jc w:val="center"/>
              <w:rPr>
                <w:b/>
                <w:color w:val="87BE28"/>
                <w:sz w:val="20"/>
                <w:szCs w:val="20"/>
                <w:lang w:val="fr-FR"/>
              </w:rPr>
            </w:pPr>
            <w:r w:rsidRPr="001274AF">
              <w:rPr>
                <w:b/>
                <w:color w:val="87BE28"/>
                <w:sz w:val="20"/>
                <w:szCs w:val="20"/>
                <w:lang w:val="fr-FR"/>
              </w:rPr>
              <w:t xml:space="preserve">3a. Définir les responsabilités en matière de mobilisation des ressources et de plaidoyer   </w:t>
            </w:r>
          </w:p>
        </w:tc>
        <w:tc>
          <w:tcPr>
            <w:tcW w:w="1418" w:type="dxa"/>
            <w:vAlign w:val="center"/>
          </w:tcPr>
          <w:p w14:paraId="41D2A22F" w14:textId="3AFB706C" w:rsidR="00B0524B" w:rsidRPr="00D2627E" w:rsidRDefault="001274AF" w:rsidP="003B2D91">
            <w:pPr>
              <w:spacing w:before="160"/>
              <w:jc w:val="center"/>
              <w:rPr>
                <w:b/>
                <w:color w:val="87BE28"/>
                <w:sz w:val="20"/>
                <w:szCs w:val="20"/>
                <w:lang w:val="en-GB"/>
              </w:rPr>
            </w:pPr>
            <w:r w:rsidRPr="001274AF">
              <w:rPr>
                <w:b/>
                <w:color w:val="87BE28"/>
                <w:sz w:val="20"/>
                <w:szCs w:val="20"/>
                <w:lang w:val="en-GB"/>
              </w:rPr>
              <w:t xml:space="preserve">3b. </w:t>
            </w:r>
            <w:proofErr w:type="spellStart"/>
            <w:r w:rsidRPr="001274AF">
              <w:rPr>
                <w:b/>
                <w:color w:val="87BE28"/>
                <w:sz w:val="20"/>
                <w:szCs w:val="20"/>
                <w:lang w:val="en-GB"/>
              </w:rPr>
              <w:t>Coûte</w:t>
            </w:r>
            <w:proofErr w:type="spellEnd"/>
          </w:p>
        </w:tc>
        <w:tc>
          <w:tcPr>
            <w:tcW w:w="9355" w:type="dxa"/>
            <w:vAlign w:val="center"/>
          </w:tcPr>
          <w:p w14:paraId="48A4C8E1" w14:textId="5B14B7A6" w:rsidR="001274AF" w:rsidRPr="002916D1" w:rsidRDefault="001274AF" w:rsidP="003B2D91">
            <w:pPr>
              <w:spacing w:before="40" w:after="40"/>
              <w:jc w:val="center"/>
              <w:rPr>
                <w:b/>
                <w:color w:val="87BE28"/>
                <w:sz w:val="20"/>
                <w:szCs w:val="20"/>
                <w:lang w:val="fr-FR"/>
              </w:rPr>
            </w:pPr>
            <w:r w:rsidRPr="001274AF">
              <w:rPr>
                <w:b/>
                <w:color w:val="87BE28"/>
                <w:sz w:val="20"/>
                <w:szCs w:val="20"/>
                <w:lang w:val="fr-FR"/>
              </w:rPr>
              <w:t xml:space="preserve">3c. Convenir d’une allocation complémentaire des ressources   </w:t>
            </w:r>
          </w:p>
        </w:tc>
      </w:tr>
      <w:tr w:rsidR="00B0524B" w:rsidRPr="00E437A5" w14:paraId="0021DB9B" w14:textId="77777777" w:rsidTr="00D2627E">
        <w:tc>
          <w:tcPr>
            <w:tcW w:w="3828" w:type="dxa"/>
          </w:tcPr>
          <w:p w14:paraId="58460525" w14:textId="50936996" w:rsidR="00B0524B" w:rsidRPr="001274AF" w:rsidRDefault="001274AF" w:rsidP="00E70904">
            <w:pPr>
              <w:spacing w:after="80"/>
              <w:rPr>
                <w:sz w:val="20"/>
                <w:szCs w:val="20"/>
                <w:u w:val="single"/>
                <w:lang w:val="fr-FR"/>
              </w:rPr>
            </w:pPr>
            <w:r w:rsidRPr="001274AF">
              <w:rPr>
                <w:sz w:val="20"/>
                <w:szCs w:val="20"/>
                <w:u w:val="single"/>
                <w:lang w:val="fr-FR"/>
              </w:rPr>
              <w:t xml:space="preserve">Cadres de </w:t>
            </w:r>
            <w:r>
              <w:rPr>
                <w:sz w:val="20"/>
                <w:szCs w:val="20"/>
                <w:u w:val="single"/>
                <w:lang w:val="fr-FR"/>
              </w:rPr>
              <w:t>c</w:t>
            </w:r>
            <w:r w:rsidRPr="001274AF">
              <w:rPr>
                <w:sz w:val="20"/>
                <w:szCs w:val="20"/>
                <w:u w:val="single"/>
                <w:lang w:val="fr-FR"/>
              </w:rPr>
              <w:t>ollecte de fonds pour</w:t>
            </w:r>
            <w:r>
              <w:rPr>
                <w:sz w:val="20"/>
                <w:szCs w:val="20"/>
                <w:u w:val="single"/>
                <w:lang w:val="fr-FR"/>
              </w:rPr>
              <w:t xml:space="preserve"> des plans des réponses</w:t>
            </w:r>
            <w:r w:rsidRPr="001274AF">
              <w:rPr>
                <w:sz w:val="20"/>
                <w:szCs w:val="20"/>
                <w:u w:val="single"/>
                <w:lang w:val="fr-FR"/>
              </w:rPr>
              <w:t xml:space="preserve"> intégrés   </w:t>
            </w:r>
          </w:p>
          <w:p w14:paraId="5FFF1813" w14:textId="1ED7B36A" w:rsidR="00EA0199" w:rsidRPr="00EA0199" w:rsidRDefault="001274AF" w:rsidP="00EA0199">
            <w:pPr>
              <w:pStyle w:val="ListParagraph"/>
              <w:numPr>
                <w:ilvl w:val="0"/>
                <w:numId w:val="13"/>
              </w:numPr>
              <w:spacing w:before="80" w:after="80"/>
              <w:ind w:left="426"/>
              <w:jc w:val="both"/>
              <w:rPr>
                <w:sz w:val="20"/>
                <w:szCs w:val="20"/>
                <w:lang w:val="fr-FR"/>
              </w:rPr>
            </w:pPr>
            <w:r w:rsidRPr="001274AF">
              <w:rPr>
                <w:sz w:val="20"/>
                <w:szCs w:val="20"/>
                <w:lang w:val="fr-FR"/>
              </w:rPr>
              <w:t>La Matrice de Protection de CAR en éducation fait partie d’un plan de réponse intégré et est f</w:t>
            </w:r>
            <w:r w:rsidR="00BF636D">
              <w:rPr>
                <w:sz w:val="20"/>
                <w:szCs w:val="20"/>
                <w:lang w:val="fr-FR"/>
              </w:rPr>
              <w:t>inancée par des bailleurs de fonds</w:t>
            </w:r>
            <w:r w:rsidR="002916D1">
              <w:rPr>
                <w:sz w:val="20"/>
                <w:szCs w:val="20"/>
                <w:lang w:val="fr-FR"/>
              </w:rPr>
              <w:t xml:space="preserve"> de l’E</w:t>
            </w:r>
            <w:r w:rsidRPr="001274AF">
              <w:rPr>
                <w:sz w:val="20"/>
                <w:szCs w:val="20"/>
                <w:lang w:val="fr-FR"/>
              </w:rPr>
              <w:t xml:space="preserve">ducation finançant un plan de réponse intégré </w:t>
            </w:r>
            <w:r w:rsidRPr="001274AF">
              <w:rPr>
                <w:b/>
                <w:sz w:val="20"/>
                <w:szCs w:val="20"/>
                <w:lang w:val="fr-FR"/>
              </w:rPr>
              <w:t>(CAR)</w:t>
            </w:r>
            <w:r w:rsidRPr="001274AF">
              <w:rPr>
                <w:sz w:val="20"/>
                <w:szCs w:val="20"/>
                <w:lang w:val="fr-FR"/>
              </w:rPr>
              <w:t xml:space="preserve">    </w:t>
            </w:r>
          </w:p>
          <w:p w14:paraId="3BF23AA2" w14:textId="6D726281" w:rsidR="00913504" w:rsidRPr="00913504" w:rsidRDefault="001274AF" w:rsidP="00913504">
            <w:pPr>
              <w:pStyle w:val="ListParagraph"/>
              <w:numPr>
                <w:ilvl w:val="0"/>
                <w:numId w:val="13"/>
              </w:numPr>
              <w:spacing w:before="80" w:after="80"/>
              <w:ind w:left="426"/>
              <w:jc w:val="both"/>
              <w:rPr>
                <w:sz w:val="20"/>
                <w:szCs w:val="20"/>
                <w:lang w:val="fr-FR"/>
              </w:rPr>
            </w:pPr>
            <w:r w:rsidRPr="00EA0199">
              <w:rPr>
                <w:sz w:val="20"/>
                <w:szCs w:val="20"/>
                <w:lang w:val="fr-FR"/>
              </w:rPr>
              <w:t>Le cadre de réponse de la Somalie en matière d’éducation et de P</w:t>
            </w:r>
            <w:r w:rsidR="00EA0199" w:rsidRPr="00EA0199">
              <w:rPr>
                <w:sz w:val="20"/>
                <w:szCs w:val="20"/>
                <w:lang w:val="fr-FR"/>
              </w:rPr>
              <w:t xml:space="preserve">rotection </w:t>
            </w:r>
            <w:r w:rsidR="002916D1">
              <w:rPr>
                <w:sz w:val="20"/>
                <w:szCs w:val="20"/>
                <w:lang w:val="fr-FR"/>
              </w:rPr>
              <w:t>des Enfants</w:t>
            </w:r>
            <w:r w:rsidRPr="00EA0199">
              <w:rPr>
                <w:sz w:val="20"/>
                <w:szCs w:val="20"/>
                <w:lang w:val="fr-FR"/>
              </w:rPr>
              <w:t xml:space="preserve"> inclus dans les propositions des donateurs (GPE, ECW, ECHO, UNICEF) les encourageant à adopter l’approche intégrée, conduisant à l’institutionnalisation. Cela soutient également l</w:t>
            </w:r>
            <w:r w:rsidR="00EA0199" w:rsidRPr="00EA0199">
              <w:rPr>
                <w:sz w:val="20"/>
                <w:szCs w:val="20"/>
                <w:lang w:val="fr-FR"/>
              </w:rPr>
              <w:t>a collecte de fonds au nom du Cluster Protection auprès des donateurs de l’</w:t>
            </w:r>
            <w:r w:rsidR="002916D1">
              <w:rPr>
                <w:sz w:val="20"/>
                <w:szCs w:val="20"/>
                <w:lang w:val="fr-FR"/>
              </w:rPr>
              <w:t>E</w:t>
            </w:r>
            <w:r w:rsidRPr="00EA0199">
              <w:rPr>
                <w:sz w:val="20"/>
                <w:szCs w:val="20"/>
                <w:lang w:val="fr-FR"/>
              </w:rPr>
              <w:t xml:space="preserve">ducation </w:t>
            </w:r>
            <w:r w:rsidRPr="00EA0199">
              <w:rPr>
                <w:b/>
                <w:sz w:val="20"/>
                <w:szCs w:val="20"/>
                <w:lang w:val="fr-FR"/>
              </w:rPr>
              <w:t>(Somalie)</w:t>
            </w:r>
            <w:r w:rsidRPr="00EA0199">
              <w:rPr>
                <w:sz w:val="20"/>
                <w:szCs w:val="20"/>
                <w:lang w:val="fr-FR"/>
              </w:rPr>
              <w:t xml:space="preserve">     </w:t>
            </w:r>
          </w:p>
          <w:p w14:paraId="274DDD37" w14:textId="77777777" w:rsidR="00B0524B" w:rsidRDefault="00EA0199" w:rsidP="00913504">
            <w:pPr>
              <w:pStyle w:val="ListParagraph"/>
              <w:numPr>
                <w:ilvl w:val="0"/>
                <w:numId w:val="13"/>
              </w:numPr>
              <w:spacing w:before="80" w:after="80"/>
              <w:ind w:left="426"/>
              <w:jc w:val="both"/>
              <w:rPr>
                <w:sz w:val="20"/>
                <w:szCs w:val="20"/>
                <w:lang w:val="fr-FR"/>
              </w:rPr>
            </w:pPr>
            <w:r w:rsidRPr="00913504">
              <w:rPr>
                <w:sz w:val="20"/>
                <w:szCs w:val="20"/>
                <w:lang w:val="fr-FR"/>
              </w:rPr>
              <w:t xml:space="preserve">Les PCA conjoints sont une exigence de l’UNICEF </w:t>
            </w:r>
            <w:r w:rsidRPr="00913504">
              <w:rPr>
                <w:b/>
                <w:sz w:val="20"/>
                <w:szCs w:val="20"/>
                <w:lang w:val="fr-FR"/>
              </w:rPr>
              <w:t>(Niger</w:t>
            </w:r>
            <w:r w:rsidRPr="00913504">
              <w:rPr>
                <w:sz w:val="20"/>
                <w:szCs w:val="20"/>
                <w:lang w:val="fr-FR"/>
              </w:rPr>
              <w:t>)</w:t>
            </w:r>
          </w:p>
          <w:p w14:paraId="192B47D8" w14:textId="25389256" w:rsidR="00FD017E" w:rsidRPr="00E437A5" w:rsidRDefault="0033594D" w:rsidP="00913504">
            <w:pPr>
              <w:pStyle w:val="ListParagraph"/>
              <w:numPr>
                <w:ilvl w:val="0"/>
                <w:numId w:val="13"/>
              </w:numPr>
              <w:spacing w:before="80" w:after="80"/>
              <w:ind w:left="426"/>
              <w:jc w:val="both"/>
              <w:rPr>
                <w:sz w:val="20"/>
                <w:szCs w:val="20"/>
                <w:lang w:val="fr-FR"/>
              </w:rPr>
            </w:pPr>
            <w:hyperlink r:id="rId11" w:history="1">
              <w:r w:rsidR="00FD017E" w:rsidRPr="00E437A5">
                <w:rPr>
                  <w:rStyle w:val="Hyperlink"/>
                  <w:sz w:val="20"/>
                  <w:szCs w:val="20"/>
                  <w:lang w:val="fr-FR"/>
                </w:rPr>
                <w:t>Me</w:t>
              </w:r>
              <w:r w:rsidR="00E437A5" w:rsidRPr="00E437A5">
                <w:rPr>
                  <w:rStyle w:val="Hyperlink"/>
                  <w:sz w:val="20"/>
                  <w:szCs w:val="20"/>
                  <w:lang w:val="fr-FR"/>
                </w:rPr>
                <w:t>ssages d</w:t>
              </w:r>
              <w:r w:rsidR="00FD017E" w:rsidRPr="00E437A5">
                <w:rPr>
                  <w:rStyle w:val="Hyperlink"/>
                  <w:sz w:val="20"/>
                  <w:szCs w:val="20"/>
                  <w:lang w:val="fr-FR"/>
                </w:rPr>
                <w:t xml:space="preserve">e </w:t>
              </w:r>
              <w:r w:rsidR="00E437A5" w:rsidRPr="00E437A5">
                <w:rPr>
                  <w:rStyle w:val="Hyperlink"/>
                  <w:sz w:val="20"/>
                  <w:szCs w:val="20"/>
                  <w:lang w:val="fr-FR"/>
                </w:rPr>
                <w:t>plaidoyer conjoints sur</w:t>
              </w:r>
              <w:r w:rsidR="00FD017E" w:rsidRPr="00E437A5">
                <w:rPr>
                  <w:rStyle w:val="Hyperlink"/>
                  <w:sz w:val="20"/>
                  <w:szCs w:val="20"/>
                  <w:lang w:val="fr-FR"/>
                </w:rPr>
                <w:t xml:space="preserve"> la protec</w:t>
              </w:r>
              <w:r w:rsidR="00E437A5">
                <w:rPr>
                  <w:rStyle w:val="Hyperlink"/>
                  <w:sz w:val="20"/>
                  <w:szCs w:val="20"/>
                  <w:lang w:val="fr-FR"/>
                </w:rPr>
                <w:t>tion</w:t>
              </w:r>
              <w:r w:rsidR="00FD017E" w:rsidRPr="00E437A5">
                <w:rPr>
                  <w:rStyle w:val="Hyperlink"/>
                  <w:sz w:val="20"/>
                  <w:szCs w:val="20"/>
                  <w:lang w:val="fr-FR"/>
                </w:rPr>
                <w:t xml:space="preserve"> de </w:t>
              </w:r>
              <w:r w:rsidR="00E437A5">
                <w:rPr>
                  <w:rStyle w:val="Hyperlink"/>
                  <w:sz w:val="20"/>
                  <w:szCs w:val="20"/>
                  <w:lang w:val="fr-FR"/>
                </w:rPr>
                <w:t>l’é</w:t>
              </w:r>
              <w:r w:rsidR="00FD017E" w:rsidRPr="00E437A5">
                <w:rPr>
                  <w:rStyle w:val="Hyperlink"/>
                  <w:sz w:val="20"/>
                  <w:szCs w:val="20"/>
                  <w:lang w:val="fr-FR"/>
                </w:rPr>
                <w:t>duca</w:t>
              </w:r>
              <w:r w:rsidR="00E437A5">
                <w:rPr>
                  <w:rStyle w:val="Hyperlink"/>
                  <w:sz w:val="20"/>
                  <w:szCs w:val="20"/>
                  <w:lang w:val="fr-FR"/>
                </w:rPr>
                <w:t>tio</w:t>
              </w:r>
              <w:r w:rsidR="00FD017E" w:rsidRPr="00E437A5">
                <w:rPr>
                  <w:rStyle w:val="Hyperlink"/>
                  <w:sz w:val="20"/>
                  <w:szCs w:val="20"/>
                  <w:lang w:val="fr-FR"/>
                </w:rPr>
                <w:t>n</w:t>
              </w:r>
            </w:hyperlink>
            <w:r w:rsidR="00FD017E" w:rsidRPr="00E437A5">
              <w:rPr>
                <w:sz w:val="20"/>
                <w:szCs w:val="20"/>
                <w:lang w:val="fr-FR"/>
              </w:rPr>
              <w:t xml:space="preserve"> p</w:t>
            </w:r>
            <w:r w:rsidR="00E437A5" w:rsidRPr="00E437A5">
              <w:rPr>
                <w:sz w:val="20"/>
                <w:szCs w:val="20"/>
                <w:lang w:val="fr-FR"/>
              </w:rPr>
              <w:t>age</w:t>
            </w:r>
            <w:r w:rsidR="00FD017E" w:rsidRPr="00E437A5">
              <w:rPr>
                <w:sz w:val="20"/>
                <w:szCs w:val="20"/>
                <w:lang w:val="fr-FR"/>
              </w:rPr>
              <w:t xml:space="preserve"> 10 (</w:t>
            </w:r>
            <w:proofErr w:type="spellStart"/>
            <w:r w:rsidR="00FD017E" w:rsidRPr="00E437A5">
              <w:rPr>
                <w:b/>
                <w:bCs/>
                <w:sz w:val="20"/>
                <w:szCs w:val="20"/>
                <w:lang w:val="fr-FR"/>
              </w:rPr>
              <w:t>oPt</w:t>
            </w:r>
            <w:proofErr w:type="spellEnd"/>
            <w:r w:rsidR="00FD017E" w:rsidRPr="00E437A5">
              <w:rPr>
                <w:sz w:val="20"/>
                <w:szCs w:val="20"/>
                <w:lang w:val="fr-FR"/>
              </w:rPr>
              <w:t>)</w:t>
            </w:r>
          </w:p>
        </w:tc>
        <w:tc>
          <w:tcPr>
            <w:tcW w:w="1418" w:type="dxa"/>
          </w:tcPr>
          <w:p w14:paraId="46D22AA5" w14:textId="7D72E2E4" w:rsidR="00B0524B" w:rsidRPr="00BC61B6" w:rsidRDefault="002916D1" w:rsidP="00E70904">
            <w:pPr>
              <w:spacing w:before="80" w:after="80"/>
              <w:ind w:left="66"/>
              <w:jc w:val="both"/>
              <w:rPr>
                <w:b/>
                <w:sz w:val="20"/>
                <w:szCs w:val="20"/>
                <w:lang w:val="fr-FR"/>
              </w:rPr>
            </w:pPr>
            <w:r w:rsidRPr="002916D1">
              <w:rPr>
                <w:sz w:val="20"/>
                <w:szCs w:val="20"/>
                <w:lang w:val="fr-FR"/>
              </w:rPr>
              <w:t xml:space="preserve">Le cadre d’établissement des coûts a été normalisé pour les éléments intersectoriels, à l’aide de la nouvelle méthode d’établissement des coûts. </w:t>
            </w:r>
            <w:r w:rsidR="00B0524B" w:rsidRPr="002916D1">
              <w:rPr>
                <w:sz w:val="20"/>
                <w:szCs w:val="20"/>
                <w:lang w:val="fr-FR"/>
              </w:rPr>
              <w:t xml:space="preserve"> </w:t>
            </w:r>
            <w:r w:rsidR="00B0524B" w:rsidRPr="00BC61B6">
              <w:rPr>
                <w:b/>
                <w:sz w:val="20"/>
                <w:szCs w:val="20"/>
                <w:lang w:val="fr-FR"/>
              </w:rPr>
              <w:t>(Afghanistan)</w:t>
            </w:r>
          </w:p>
          <w:p w14:paraId="3E5BCEDA" w14:textId="77777777" w:rsidR="00E70904" w:rsidRPr="00BC61B6" w:rsidRDefault="00E70904" w:rsidP="00E70904">
            <w:pPr>
              <w:spacing w:before="80" w:after="80"/>
              <w:jc w:val="both"/>
              <w:rPr>
                <w:sz w:val="20"/>
                <w:szCs w:val="20"/>
                <w:lang w:val="fr-FR"/>
              </w:rPr>
            </w:pPr>
          </w:p>
          <w:p w14:paraId="07BAC7FF" w14:textId="7C816E71" w:rsidR="00CE3CA7" w:rsidRPr="00BC61B6" w:rsidRDefault="00BC61B6" w:rsidP="00E70904">
            <w:pPr>
              <w:spacing w:before="80" w:after="80"/>
              <w:jc w:val="both"/>
              <w:rPr>
                <w:sz w:val="20"/>
                <w:szCs w:val="20"/>
                <w:lang w:val="fr-FR"/>
              </w:rPr>
            </w:pPr>
            <w:r w:rsidRPr="00BC61B6">
              <w:rPr>
                <w:sz w:val="20"/>
                <w:szCs w:val="20"/>
                <w:lang w:val="fr-FR"/>
              </w:rPr>
              <w:t xml:space="preserve">Exemple d’établissement des coûts conjoints du </w:t>
            </w:r>
            <w:r>
              <w:rPr>
                <w:rFonts w:ascii="Calibri" w:eastAsia="Calibri" w:hAnsi="Calibri" w:cs="Times New Roman"/>
                <w:sz w:val="20"/>
                <w:szCs w:val="20"/>
                <w:lang w:val="fr-FR"/>
              </w:rPr>
              <w:t>MHPSS</w:t>
            </w:r>
            <w:r w:rsidR="00CE3CA7" w:rsidRPr="00BC61B6">
              <w:rPr>
                <w:rFonts w:ascii="Calibri" w:eastAsia="Calibri" w:hAnsi="Calibri" w:cs="Times New Roman"/>
                <w:sz w:val="20"/>
                <w:szCs w:val="20"/>
                <w:lang w:val="fr-FR"/>
              </w:rPr>
              <w:t xml:space="preserve"> (</w:t>
            </w:r>
            <w:r w:rsidR="00CE3CA7" w:rsidRPr="00BC61B6">
              <w:rPr>
                <w:rFonts w:ascii="Calibri" w:eastAsia="Calibri" w:hAnsi="Calibri" w:cs="Times New Roman"/>
                <w:b/>
                <w:sz w:val="20"/>
                <w:szCs w:val="20"/>
                <w:lang w:val="fr-FR"/>
              </w:rPr>
              <w:t>Iraq)</w:t>
            </w:r>
          </w:p>
          <w:p w14:paraId="7DFA4C52" w14:textId="7608B344" w:rsidR="00CE3CA7" w:rsidRPr="00BC61B6" w:rsidRDefault="00CE3CA7" w:rsidP="006F54C9">
            <w:pPr>
              <w:spacing w:before="80" w:after="80"/>
              <w:jc w:val="both"/>
              <w:rPr>
                <w:b/>
                <w:sz w:val="20"/>
                <w:szCs w:val="20"/>
                <w:lang w:val="fr-FR"/>
              </w:rPr>
            </w:pPr>
          </w:p>
        </w:tc>
        <w:tc>
          <w:tcPr>
            <w:tcW w:w="9355" w:type="dxa"/>
          </w:tcPr>
          <w:p w14:paraId="338229D3" w14:textId="380EC568" w:rsidR="000F1D4C" w:rsidRPr="00E503B1" w:rsidRDefault="0095551A" w:rsidP="00E70904">
            <w:pPr>
              <w:spacing w:after="80"/>
              <w:rPr>
                <w:sz w:val="20"/>
                <w:szCs w:val="20"/>
                <w:lang w:val="en-GB"/>
              </w:rPr>
            </w:pPr>
            <w:r w:rsidRPr="0095551A">
              <w:rPr>
                <w:sz w:val="20"/>
                <w:szCs w:val="20"/>
                <w:u w:val="single"/>
                <w:lang w:val="en-GB"/>
              </w:rPr>
              <w:t>Fond</w:t>
            </w:r>
            <w:r>
              <w:rPr>
                <w:sz w:val="20"/>
                <w:szCs w:val="20"/>
                <w:u w:val="single"/>
                <w:lang w:val="en-GB"/>
              </w:rPr>
              <w:t>s</w:t>
            </w:r>
            <w:r w:rsidRPr="0095551A">
              <w:rPr>
                <w:sz w:val="20"/>
                <w:szCs w:val="20"/>
                <w:u w:val="single"/>
                <w:lang w:val="en-GB"/>
              </w:rPr>
              <w:t xml:space="preserve"> humanitaires communs</w:t>
            </w:r>
            <w:r>
              <w:rPr>
                <w:sz w:val="20"/>
                <w:szCs w:val="20"/>
                <w:u w:val="single"/>
                <w:lang w:val="en-GB"/>
              </w:rPr>
              <w:t xml:space="preserve">   </w:t>
            </w:r>
          </w:p>
          <w:p w14:paraId="3BC8DD3C" w14:textId="3613E62A" w:rsidR="00A47F96" w:rsidRPr="00A772E9" w:rsidRDefault="0095551A" w:rsidP="00A772E9">
            <w:pPr>
              <w:pStyle w:val="ListParagraph"/>
              <w:numPr>
                <w:ilvl w:val="0"/>
                <w:numId w:val="13"/>
              </w:numPr>
              <w:spacing w:before="80" w:after="80"/>
              <w:jc w:val="both"/>
              <w:rPr>
                <w:sz w:val="20"/>
                <w:szCs w:val="20"/>
                <w:lang w:val="fr-FR"/>
              </w:rPr>
            </w:pPr>
            <w:r>
              <w:rPr>
                <w:sz w:val="20"/>
                <w:szCs w:val="20"/>
                <w:lang w:val="fr-FR"/>
              </w:rPr>
              <w:t>Le Cluster Education et le</w:t>
            </w:r>
            <w:r w:rsidRPr="0095551A">
              <w:rPr>
                <w:sz w:val="20"/>
                <w:szCs w:val="20"/>
                <w:lang w:val="fr-FR"/>
              </w:rPr>
              <w:t xml:space="preserve"> C</w:t>
            </w:r>
            <w:r>
              <w:rPr>
                <w:sz w:val="20"/>
                <w:szCs w:val="20"/>
                <w:lang w:val="fr-FR"/>
              </w:rPr>
              <w:t xml:space="preserve">luster </w:t>
            </w:r>
            <w:r w:rsidRPr="0095551A">
              <w:rPr>
                <w:sz w:val="20"/>
                <w:szCs w:val="20"/>
                <w:lang w:val="fr-FR"/>
              </w:rPr>
              <w:t>P</w:t>
            </w:r>
            <w:r>
              <w:rPr>
                <w:sz w:val="20"/>
                <w:szCs w:val="20"/>
                <w:lang w:val="fr-FR"/>
              </w:rPr>
              <w:t>rotection</w:t>
            </w:r>
            <w:r w:rsidRPr="0095551A">
              <w:rPr>
                <w:sz w:val="20"/>
                <w:szCs w:val="20"/>
                <w:lang w:val="fr-FR"/>
              </w:rPr>
              <w:t xml:space="preserve"> on</w:t>
            </w:r>
            <w:r w:rsidR="00D94B95">
              <w:rPr>
                <w:sz w:val="20"/>
                <w:szCs w:val="20"/>
                <w:lang w:val="fr-FR"/>
              </w:rPr>
              <w:t xml:space="preserve">t plaidé avec succès auprès du </w:t>
            </w:r>
            <w:r w:rsidRPr="0095551A">
              <w:rPr>
                <w:sz w:val="20"/>
                <w:szCs w:val="20"/>
                <w:lang w:val="fr-FR"/>
              </w:rPr>
              <w:t>C</w:t>
            </w:r>
            <w:r w:rsidR="00D94B95">
              <w:rPr>
                <w:sz w:val="20"/>
                <w:szCs w:val="20"/>
                <w:lang w:val="fr-FR"/>
              </w:rPr>
              <w:t>oordinateur Humanitaire</w:t>
            </w:r>
            <w:r w:rsidRPr="0095551A">
              <w:rPr>
                <w:sz w:val="20"/>
                <w:szCs w:val="20"/>
                <w:lang w:val="fr-FR"/>
              </w:rPr>
              <w:t xml:space="preserve"> p</w:t>
            </w:r>
            <w:r>
              <w:rPr>
                <w:sz w:val="20"/>
                <w:szCs w:val="20"/>
                <w:lang w:val="fr-FR"/>
              </w:rPr>
              <w:t>our une allocation conjointe</w:t>
            </w:r>
            <w:r w:rsidR="004F7085">
              <w:rPr>
                <w:sz w:val="20"/>
                <w:szCs w:val="20"/>
                <w:lang w:val="fr-FR"/>
              </w:rPr>
              <w:t xml:space="preserve"> des</w:t>
            </w:r>
            <w:r>
              <w:rPr>
                <w:sz w:val="20"/>
                <w:szCs w:val="20"/>
                <w:lang w:val="fr-FR"/>
              </w:rPr>
              <w:t xml:space="preserve"> Fonds Humanitaires Communs</w:t>
            </w:r>
            <w:r w:rsidRPr="0095551A">
              <w:rPr>
                <w:sz w:val="20"/>
                <w:szCs w:val="20"/>
                <w:lang w:val="fr-FR"/>
              </w:rPr>
              <w:t xml:space="preserve">. Les secteurs élaborent conjointement une </w:t>
            </w:r>
            <w:r w:rsidR="005A0FB3">
              <w:rPr>
                <w:color w:val="4472C4" w:themeColor="accent1"/>
                <w:sz w:val="20"/>
                <w:szCs w:val="20"/>
                <w:u w:val="single"/>
                <w:lang w:val="fr-FR"/>
              </w:rPr>
              <w:t>Stratégie Conjointe d’A</w:t>
            </w:r>
            <w:r w:rsidR="0029492F">
              <w:rPr>
                <w:color w:val="4472C4" w:themeColor="accent1"/>
                <w:sz w:val="20"/>
                <w:szCs w:val="20"/>
                <w:u w:val="single"/>
                <w:lang w:val="fr-FR"/>
              </w:rPr>
              <w:t>llocation</w:t>
            </w:r>
            <w:r w:rsidRPr="005A0FB3">
              <w:rPr>
                <w:color w:val="4472C4" w:themeColor="accent1"/>
                <w:sz w:val="20"/>
                <w:szCs w:val="20"/>
                <w:u w:val="single"/>
                <w:lang w:val="fr-FR"/>
              </w:rPr>
              <w:t xml:space="preserve"> des F</w:t>
            </w:r>
            <w:r w:rsidR="005A0FB3">
              <w:rPr>
                <w:color w:val="4472C4" w:themeColor="accent1"/>
                <w:sz w:val="20"/>
                <w:szCs w:val="20"/>
                <w:u w:val="single"/>
                <w:lang w:val="fr-FR"/>
              </w:rPr>
              <w:t xml:space="preserve">onds </w:t>
            </w:r>
            <w:r w:rsidRPr="005A0FB3">
              <w:rPr>
                <w:color w:val="4472C4" w:themeColor="accent1"/>
                <w:sz w:val="20"/>
                <w:szCs w:val="20"/>
                <w:u w:val="single"/>
                <w:lang w:val="fr-FR"/>
              </w:rPr>
              <w:t>H</w:t>
            </w:r>
            <w:r w:rsidR="005A0FB3">
              <w:rPr>
                <w:color w:val="4472C4" w:themeColor="accent1"/>
                <w:sz w:val="20"/>
                <w:szCs w:val="20"/>
                <w:u w:val="single"/>
                <w:lang w:val="fr-FR"/>
              </w:rPr>
              <w:t>umanitaires</w:t>
            </w:r>
            <w:r w:rsidR="004F7085">
              <w:rPr>
                <w:sz w:val="20"/>
                <w:szCs w:val="20"/>
                <w:lang w:val="fr-FR"/>
              </w:rPr>
              <w:t xml:space="preserve">; le </w:t>
            </w:r>
            <w:r w:rsidRPr="0095551A">
              <w:rPr>
                <w:sz w:val="20"/>
                <w:szCs w:val="20"/>
                <w:lang w:val="fr-FR"/>
              </w:rPr>
              <w:t>C</w:t>
            </w:r>
            <w:r w:rsidR="0029492F">
              <w:rPr>
                <w:sz w:val="20"/>
                <w:szCs w:val="20"/>
                <w:lang w:val="fr-FR"/>
              </w:rPr>
              <w:t>oordon</w:t>
            </w:r>
            <w:r w:rsidR="004F7085">
              <w:rPr>
                <w:sz w:val="20"/>
                <w:szCs w:val="20"/>
                <w:lang w:val="fr-FR"/>
              </w:rPr>
              <w:t>nateur Humanitaire</w:t>
            </w:r>
            <w:r w:rsidRPr="0095551A">
              <w:rPr>
                <w:sz w:val="20"/>
                <w:szCs w:val="20"/>
                <w:lang w:val="fr-FR"/>
              </w:rPr>
              <w:t xml:space="preserve"> donne l’enveloppe par secteur, puis les coo</w:t>
            </w:r>
            <w:r w:rsidR="004F7085">
              <w:rPr>
                <w:sz w:val="20"/>
                <w:szCs w:val="20"/>
                <w:lang w:val="fr-FR"/>
              </w:rPr>
              <w:t>rdonnateurs</w:t>
            </w:r>
            <w:r w:rsidR="005A0FB3">
              <w:rPr>
                <w:sz w:val="20"/>
                <w:szCs w:val="20"/>
                <w:lang w:val="fr-FR"/>
              </w:rPr>
              <w:t xml:space="preserve"> du Cluster Education et du Cluster Protection additionnent</w:t>
            </w:r>
            <w:r w:rsidRPr="0095551A">
              <w:rPr>
                <w:sz w:val="20"/>
                <w:szCs w:val="20"/>
                <w:lang w:val="fr-FR"/>
              </w:rPr>
              <w:t xml:space="preserve"> les fonds alloués pour le décaissement. Les partenaires sont tenus de soumettre des propositions intég</w:t>
            </w:r>
            <w:r w:rsidR="005A0FB3">
              <w:rPr>
                <w:sz w:val="20"/>
                <w:szCs w:val="20"/>
                <w:lang w:val="fr-FR"/>
              </w:rPr>
              <w:t>rées pour le financement du Fonds Humanitaires Communs</w:t>
            </w:r>
            <w:r w:rsidRPr="0095551A">
              <w:rPr>
                <w:sz w:val="20"/>
                <w:szCs w:val="20"/>
                <w:lang w:val="fr-FR"/>
              </w:rPr>
              <w:t xml:space="preserve"> (une exigence obligatoire pour les projets). Le financement est ensuite alloué aux projets intégrés retenus en fonction de la qualité de la présentation du projet, le pourcentage de financement par secteur étant à peu pr</w:t>
            </w:r>
            <w:r w:rsidR="004F7085">
              <w:rPr>
                <w:sz w:val="20"/>
                <w:szCs w:val="20"/>
                <w:lang w:val="fr-FR"/>
              </w:rPr>
              <w:t xml:space="preserve">ès en équilibre avec ce que le </w:t>
            </w:r>
            <w:r w:rsidRPr="0095551A">
              <w:rPr>
                <w:sz w:val="20"/>
                <w:szCs w:val="20"/>
                <w:lang w:val="fr-FR"/>
              </w:rPr>
              <w:t>C</w:t>
            </w:r>
            <w:r w:rsidR="004F7085">
              <w:rPr>
                <w:sz w:val="20"/>
                <w:szCs w:val="20"/>
                <w:lang w:val="fr-FR"/>
              </w:rPr>
              <w:t>oordinateur Humanitaire</w:t>
            </w:r>
            <w:r w:rsidRPr="0095551A">
              <w:rPr>
                <w:sz w:val="20"/>
                <w:szCs w:val="20"/>
                <w:lang w:val="fr-FR"/>
              </w:rPr>
              <w:t xml:space="preserve"> avait initialement all</w:t>
            </w:r>
            <w:r w:rsidR="0029492F">
              <w:rPr>
                <w:sz w:val="20"/>
                <w:szCs w:val="20"/>
                <w:lang w:val="fr-FR"/>
              </w:rPr>
              <w:t>oué par secteur. L’examen</w:t>
            </w:r>
            <w:r w:rsidRPr="0095551A">
              <w:rPr>
                <w:sz w:val="20"/>
                <w:szCs w:val="20"/>
                <w:lang w:val="fr-FR"/>
              </w:rPr>
              <w:t xml:space="preserve"> des projets a été effectuée séparéme</w:t>
            </w:r>
            <w:r w:rsidR="005A0FB3">
              <w:rPr>
                <w:sz w:val="20"/>
                <w:szCs w:val="20"/>
                <w:lang w:val="fr-FR"/>
              </w:rPr>
              <w:t>nt par les coordonnateurs du Cluster Education</w:t>
            </w:r>
            <w:r w:rsidR="009F762C">
              <w:rPr>
                <w:sz w:val="20"/>
                <w:szCs w:val="20"/>
                <w:lang w:val="fr-FR"/>
              </w:rPr>
              <w:t xml:space="preserve"> et du Cluster Protection</w:t>
            </w:r>
            <w:r w:rsidRPr="0095551A">
              <w:rPr>
                <w:sz w:val="20"/>
                <w:szCs w:val="20"/>
                <w:lang w:val="fr-FR"/>
              </w:rPr>
              <w:t xml:space="preserve">, mais les commentaires aux partenaires ont été donnés conjointement </w:t>
            </w:r>
            <w:r w:rsidRPr="0095551A">
              <w:rPr>
                <w:b/>
                <w:sz w:val="20"/>
                <w:szCs w:val="20"/>
                <w:lang w:val="fr-FR"/>
              </w:rPr>
              <w:t>(OPt).</w:t>
            </w:r>
            <w:r w:rsidRPr="0095551A">
              <w:rPr>
                <w:sz w:val="20"/>
                <w:szCs w:val="20"/>
                <w:lang w:val="fr-FR"/>
              </w:rPr>
              <w:t xml:space="preserve"> </w:t>
            </w:r>
          </w:p>
          <w:p w14:paraId="31C59C85" w14:textId="4BAE58CA" w:rsidR="000F1D4C" w:rsidRPr="00A772E9" w:rsidRDefault="00A47F96" w:rsidP="00A47F96">
            <w:pPr>
              <w:pStyle w:val="ListParagraph"/>
              <w:numPr>
                <w:ilvl w:val="0"/>
                <w:numId w:val="13"/>
              </w:numPr>
              <w:spacing w:before="80" w:after="80"/>
              <w:jc w:val="both"/>
              <w:rPr>
                <w:sz w:val="20"/>
                <w:szCs w:val="20"/>
                <w:lang w:val="fr-FR"/>
              </w:rPr>
            </w:pPr>
            <w:r>
              <w:rPr>
                <w:sz w:val="20"/>
                <w:szCs w:val="20"/>
                <w:lang w:val="fr-FR"/>
              </w:rPr>
              <w:t>Les propositions du Cluster Education au Fonds Humanitaires</w:t>
            </w:r>
            <w:r w:rsidRPr="00A47F96">
              <w:rPr>
                <w:sz w:val="20"/>
                <w:szCs w:val="20"/>
                <w:lang w:val="fr-FR"/>
              </w:rPr>
              <w:t xml:space="preserve"> Somalie</w:t>
            </w:r>
            <w:r>
              <w:rPr>
                <w:sz w:val="20"/>
                <w:szCs w:val="20"/>
                <w:lang w:val="fr-FR"/>
              </w:rPr>
              <w:t xml:space="preserve">n </w:t>
            </w:r>
            <w:r w:rsidRPr="00A47F96">
              <w:rPr>
                <w:sz w:val="20"/>
                <w:szCs w:val="20"/>
                <w:lang w:val="fr-FR"/>
              </w:rPr>
              <w:t>doivent inclure des a</w:t>
            </w:r>
            <w:r>
              <w:rPr>
                <w:sz w:val="20"/>
                <w:szCs w:val="20"/>
                <w:lang w:val="fr-FR"/>
              </w:rPr>
              <w:t>ctivités du cadre de réponse</w:t>
            </w:r>
            <w:r w:rsidRPr="00A47F96">
              <w:rPr>
                <w:sz w:val="20"/>
                <w:szCs w:val="20"/>
                <w:lang w:val="fr-FR"/>
              </w:rPr>
              <w:t xml:space="preserve"> CP-Éducation (intégration obligatoire). Les partenaires peuvent </w:t>
            </w:r>
            <w:r w:rsidR="004F7085">
              <w:rPr>
                <w:sz w:val="20"/>
                <w:szCs w:val="20"/>
                <w:lang w:val="fr-FR"/>
              </w:rPr>
              <w:t>choisir des indicateurs pour l’E</w:t>
            </w:r>
            <w:r w:rsidRPr="00A47F96">
              <w:rPr>
                <w:sz w:val="20"/>
                <w:szCs w:val="20"/>
                <w:lang w:val="fr-FR"/>
              </w:rPr>
              <w:t>ducation ou la P</w:t>
            </w:r>
            <w:r w:rsidR="004F7085">
              <w:rPr>
                <w:sz w:val="20"/>
                <w:szCs w:val="20"/>
                <w:lang w:val="fr-FR"/>
              </w:rPr>
              <w:t>rotection</w:t>
            </w:r>
            <w:r w:rsidRPr="00A47F96">
              <w:rPr>
                <w:sz w:val="20"/>
                <w:szCs w:val="20"/>
                <w:lang w:val="fr-FR"/>
              </w:rPr>
              <w:t xml:space="preserve"> (ils sont liés dans le système) – les coordonnateurs ne dicten</w:t>
            </w:r>
            <w:r>
              <w:rPr>
                <w:sz w:val="20"/>
                <w:szCs w:val="20"/>
                <w:lang w:val="fr-FR"/>
              </w:rPr>
              <w:t xml:space="preserve">t pas fortement à la division </w:t>
            </w:r>
            <w:r w:rsidR="004F7085">
              <w:rPr>
                <w:sz w:val="20"/>
                <w:szCs w:val="20"/>
                <w:lang w:val="fr-FR"/>
              </w:rPr>
              <w:t xml:space="preserve">du </w:t>
            </w:r>
            <w:r>
              <w:rPr>
                <w:sz w:val="20"/>
                <w:szCs w:val="20"/>
                <w:lang w:val="fr-FR"/>
              </w:rPr>
              <w:t>Cluster Protection ou du Cluster Education</w:t>
            </w:r>
            <w:r w:rsidRPr="00A47F96">
              <w:rPr>
                <w:sz w:val="20"/>
                <w:szCs w:val="20"/>
                <w:lang w:val="fr-FR"/>
              </w:rPr>
              <w:t>, laissant cela aux forces de chaque partenaire</w:t>
            </w:r>
            <w:r w:rsidR="00A772E9">
              <w:rPr>
                <w:sz w:val="20"/>
                <w:szCs w:val="20"/>
                <w:lang w:val="fr-FR"/>
              </w:rPr>
              <w:t>. Les propositions concernant le Fonds Humanitaires Somalien</w:t>
            </w:r>
            <w:r w:rsidRPr="00A47F96">
              <w:rPr>
                <w:sz w:val="20"/>
                <w:szCs w:val="20"/>
                <w:lang w:val="fr-FR"/>
              </w:rPr>
              <w:t xml:space="preserve"> sont examinées ensemble par les deux secteurs (</w:t>
            </w:r>
            <w:r w:rsidRPr="00A47F96">
              <w:rPr>
                <w:b/>
                <w:sz w:val="20"/>
                <w:szCs w:val="20"/>
                <w:lang w:val="fr-FR"/>
              </w:rPr>
              <w:t>Somalie</w:t>
            </w:r>
            <w:r w:rsidRPr="00A47F96">
              <w:rPr>
                <w:sz w:val="20"/>
                <w:szCs w:val="20"/>
                <w:lang w:val="fr-FR"/>
              </w:rPr>
              <w:t>).</w:t>
            </w:r>
            <w:r w:rsidR="00A772E9">
              <w:rPr>
                <w:sz w:val="20"/>
                <w:szCs w:val="20"/>
                <w:lang w:val="fr-FR"/>
              </w:rPr>
              <w:t xml:space="preserve">     </w:t>
            </w:r>
          </w:p>
          <w:p w14:paraId="051265EC" w14:textId="4BE17961" w:rsidR="000F1D4C" w:rsidRPr="00A772E9" w:rsidRDefault="00A772E9" w:rsidP="00A772E9">
            <w:pPr>
              <w:pStyle w:val="ListParagraph"/>
              <w:numPr>
                <w:ilvl w:val="0"/>
                <w:numId w:val="13"/>
              </w:numPr>
              <w:spacing w:before="80" w:after="80"/>
              <w:jc w:val="both"/>
              <w:rPr>
                <w:sz w:val="20"/>
                <w:szCs w:val="20"/>
                <w:lang w:val="fr-FR"/>
              </w:rPr>
            </w:pPr>
            <w:r w:rsidRPr="00A772E9">
              <w:rPr>
                <w:sz w:val="20"/>
                <w:szCs w:val="20"/>
                <w:lang w:val="fr-FR"/>
              </w:rPr>
              <w:t xml:space="preserve">Sur la base des directives de Mossoul pour les espaces intégrés, </w:t>
            </w:r>
            <w:r>
              <w:rPr>
                <w:sz w:val="20"/>
                <w:szCs w:val="20"/>
                <w:lang w:val="fr-FR"/>
              </w:rPr>
              <w:t xml:space="preserve">le Fonds Humanitaires </w:t>
            </w:r>
            <w:r w:rsidRPr="00A772E9">
              <w:rPr>
                <w:sz w:val="20"/>
                <w:szCs w:val="20"/>
                <w:lang w:val="fr-FR"/>
              </w:rPr>
              <w:t>Iraq</w:t>
            </w:r>
            <w:r>
              <w:rPr>
                <w:sz w:val="20"/>
                <w:szCs w:val="20"/>
                <w:lang w:val="fr-FR"/>
              </w:rPr>
              <w:t xml:space="preserve">uien </w:t>
            </w:r>
            <w:r w:rsidRPr="00A772E9">
              <w:rPr>
                <w:sz w:val="20"/>
                <w:szCs w:val="20"/>
                <w:lang w:val="fr-FR"/>
              </w:rPr>
              <w:t xml:space="preserve"> a accepté des fiches de projet conjointes. La réunion de l’IHF a été organisée conjointement pour le C</w:t>
            </w:r>
            <w:r>
              <w:rPr>
                <w:sz w:val="20"/>
                <w:szCs w:val="20"/>
                <w:lang w:val="fr-FR"/>
              </w:rPr>
              <w:t xml:space="preserve">luster </w:t>
            </w:r>
            <w:r w:rsidRPr="00A772E9">
              <w:rPr>
                <w:sz w:val="20"/>
                <w:szCs w:val="20"/>
                <w:lang w:val="fr-FR"/>
              </w:rPr>
              <w:t>P</w:t>
            </w:r>
            <w:r>
              <w:rPr>
                <w:sz w:val="20"/>
                <w:szCs w:val="20"/>
                <w:lang w:val="fr-FR"/>
              </w:rPr>
              <w:t>rotection et pour le Cluster E</w:t>
            </w:r>
            <w:r w:rsidRPr="00A772E9">
              <w:rPr>
                <w:sz w:val="20"/>
                <w:szCs w:val="20"/>
                <w:lang w:val="fr-FR"/>
              </w:rPr>
              <w:t>ducation et les partenaires ont été informés du secteur auquel faire appel pour les activités intersectorielles et de la manière dont les fiches de projet conjointes seraient examinées par le secteur ayant le plus grand pourcentage de budget (</w:t>
            </w:r>
            <w:r w:rsidRPr="00A772E9">
              <w:rPr>
                <w:b/>
                <w:sz w:val="20"/>
                <w:szCs w:val="20"/>
                <w:lang w:val="fr-FR"/>
              </w:rPr>
              <w:t>Irak</w:t>
            </w:r>
            <w:r w:rsidRPr="00A772E9">
              <w:rPr>
                <w:sz w:val="20"/>
                <w:szCs w:val="20"/>
                <w:lang w:val="fr-FR"/>
              </w:rPr>
              <w:t>).</w:t>
            </w:r>
            <w:r>
              <w:rPr>
                <w:sz w:val="20"/>
                <w:szCs w:val="20"/>
                <w:lang w:val="fr-FR"/>
              </w:rPr>
              <w:t xml:space="preserve">      </w:t>
            </w:r>
          </w:p>
          <w:p w14:paraId="54CCC381" w14:textId="589A3D05" w:rsidR="000F1D4C" w:rsidRPr="0018556E" w:rsidRDefault="00A772E9" w:rsidP="00A772E9">
            <w:pPr>
              <w:pStyle w:val="ListParagraph"/>
              <w:numPr>
                <w:ilvl w:val="0"/>
                <w:numId w:val="13"/>
              </w:numPr>
              <w:spacing w:before="80" w:after="80"/>
              <w:jc w:val="both"/>
              <w:rPr>
                <w:sz w:val="20"/>
                <w:szCs w:val="20"/>
                <w:lang w:val="fr-FR"/>
              </w:rPr>
            </w:pPr>
            <w:r>
              <w:rPr>
                <w:sz w:val="20"/>
                <w:szCs w:val="20"/>
                <w:lang w:val="fr-FR"/>
              </w:rPr>
              <w:t>Le Cluster E</w:t>
            </w:r>
            <w:r w:rsidRPr="00A772E9">
              <w:rPr>
                <w:sz w:val="20"/>
                <w:szCs w:val="20"/>
                <w:lang w:val="fr-FR"/>
              </w:rPr>
              <w:t>duc</w:t>
            </w:r>
            <w:r>
              <w:rPr>
                <w:sz w:val="20"/>
                <w:szCs w:val="20"/>
                <w:lang w:val="fr-FR"/>
              </w:rPr>
              <w:t xml:space="preserve">ation de </w:t>
            </w:r>
            <w:r w:rsidR="00DD02B7">
              <w:rPr>
                <w:sz w:val="20"/>
                <w:szCs w:val="20"/>
                <w:lang w:val="fr-FR"/>
              </w:rPr>
              <w:t>l’</w:t>
            </w:r>
            <w:r w:rsidR="00DD02B7" w:rsidRPr="00A772E9">
              <w:rPr>
                <w:sz w:val="20"/>
                <w:szCs w:val="20"/>
                <w:lang w:val="fr-FR"/>
              </w:rPr>
              <w:t>Afghanistan n’exigeait</w:t>
            </w:r>
            <w:r w:rsidRPr="00A772E9">
              <w:rPr>
                <w:sz w:val="20"/>
                <w:szCs w:val="20"/>
                <w:lang w:val="fr-FR"/>
              </w:rPr>
              <w:t xml:space="preserve"> que </w:t>
            </w:r>
            <w:r w:rsidR="004F7085">
              <w:rPr>
                <w:sz w:val="20"/>
                <w:szCs w:val="20"/>
                <w:lang w:val="fr-FR"/>
              </w:rPr>
              <w:t>les projets de l’E</w:t>
            </w:r>
            <w:r>
              <w:rPr>
                <w:sz w:val="20"/>
                <w:szCs w:val="20"/>
                <w:lang w:val="fr-FR"/>
              </w:rPr>
              <w:t>ducation soumis au Fonds Humanitaires de</w:t>
            </w:r>
            <w:r w:rsidR="0018556E">
              <w:rPr>
                <w:sz w:val="20"/>
                <w:szCs w:val="20"/>
                <w:lang w:val="fr-FR"/>
              </w:rPr>
              <w:t xml:space="preserve"> l’</w:t>
            </w:r>
            <w:r w:rsidRPr="00A772E9">
              <w:rPr>
                <w:sz w:val="20"/>
                <w:szCs w:val="20"/>
                <w:lang w:val="fr-FR"/>
              </w:rPr>
              <w:t>Afghanistan</w:t>
            </w:r>
            <w:r w:rsidR="00DD02B7">
              <w:rPr>
                <w:sz w:val="20"/>
                <w:szCs w:val="20"/>
                <w:lang w:val="fr-FR"/>
              </w:rPr>
              <w:t xml:space="preserve"> en 2019 inclusent</w:t>
            </w:r>
            <w:r w:rsidRPr="00A772E9">
              <w:rPr>
                <w:sz w:val="20"/>
                <w:szCs w:val="20"/>
                <w:lang w:val="fr-FR"/>
              </w:rPr>
              <w:t xml:space="preserve"> un budget minimum de 10% sur les activités de P</w:t>
            </w:r>
            <w:r w:rsidR="004F7085">
              <w:rPr>
                <w:sz w:val="20"/>
                <w:szCs w:val="20"/>
                <w:lang w:val="fr-FR"/>
              </w:rPr>
              <w:t>rotection des Enfants</w:t>
            </w:r>
            <w:r w:rsidRPr="00A772E9">
              <w:rPr>
                <w:sz w:val="20"/>
                <w:szCs w:val="20"/>
                <w:lang w:val="fr-FR"/>
              </w:rPr>
              <w:t>. Les examens du GMS sont effectués avec les deux coordonnateurs (</w:t>
            </w:r>
            <w:r w:rsidRPr="0018556E">
              <w:rPr>
                <w:b/>
                <w:sz w:val="20"/>
                <w:szCs w:val="20"/>
                <w:lang w:val="fr-FR"/>
              </w:rPr>
              <w:t>Afghanistan</w:t>
            </w:r>
            <w:r w:rsidRPr="00A772E9">
              <w:rPr>
                <w:sz w:val="20"/>
                <w:szCs w:val="20"/>
                <w:lang w:val="fr-FR"/>
              </w:rPr>
              <w:t xml:space="preserve">).  </w:t>
            </w:r>
            <w:r>
              <w:rPr>
                <w:sz w:val="20"/>
                <w:szCs w:val="20"/>
                <w:lang w:val="fr-FR"/>
              </w:rPr>
              <w:t xml:space="preserve">   </w:t>
            </w:r>
          </w:p>
          <w:p w14:paraId="21818BB3" w14:textId="7BF53871" w:rsidR="00B0524B" w:rsidRPr="0018556E" w:rsidRDefault="0018556E" w:rsidP="0018556E">
            <w:pPr>
              <w:pStyle w:val="ListParagraph"/>
              <w:numPr>
                <w:ilvl w:val="0"/>
                <w:numId w:val="13"/>
              </w:numPr>
              <w:spacing w:before="80" w:after="80"/>
              <w:jc w:val="both"/>
              <w:rPr>
                <w:sz w:val="20"/>
                <w:szCs w:val="20"/>
                <w:lang w:val="fr-FR"/>
              </w:rPr>
            </w:pPr>
            <w:r w:rsidRPr="0018556E">
              <w:rPr>
                <w:sz w:val="20"/>
                <w:szCs w:val="20"/>
                <w:lang w:val="fr-FR"/>
              </w:rPr>
              <w:t>Lorsqu’il y a des activités intersectorielles ou complémentaires, les partenaires décident dans quel secteur les inclure, et les deux coordonnateurs examinent l’ensemble du projet lorsque des activités conjointes sont incluses (</w:t>
            </w:r>
            <w:r w:rsidRPr="0018556E">
              <w:rPr>
                <w:b/>
                <w:sz w:val="20"/>
                <w:szCs w:val="20"/>
                <w:lang w:val="fr-FR"/>
              </w:rPr>
              <w:t>Myanmar</w:t>
            </w:r>
            <w:r w:rsidRPr="0018556E">
              <w:rPr>
                <w:sz w:val="20"/>
                <w:szCs w:val="20"/>
                <w:lang w:val="fr-FR"/>
              </w:rPr>
              <w:t>).</w:t>
            </w:r>
            <w:r>
              <w:rPr>
                <w:sz w:val="20"/>
                <w:szCs w:val="20"/>
                <w:lang w:val="fr-FR"/>
              </w:rPr>
              <w:t xml:space="preserve">    </w:t>
            </w:r>
          </w:p>
          <w:p w14:paraId="72F1A9B9" w14:textId="6303F9C2" w:rsidR="00B0524B" w:rsidRPr="00E503B1" w:rsidRDefault="0018556E" w:rsidP="00B0524B">
            <w:pPr>
              <w:spacing w:before="80" w:after="80"/>
              <w:rPr>
                <w:sz w:val="20"/>
                <w:szCs w:val="20"/>
                <w:u w:val="single"/>
                <w:lang w:val="en-GB"/>
              </w:rPr>
            </w:pPr>
            <w:r w:rsidRPr="0018556E">
              <w:rPr>
                <w:sz w:val="20"/>
                <w:szCs w:val="20"/>
                <w:u w:val="single"/>
                <w:lang w:val="en-GB"/>
              </w:rPr>
              <w:t>Allocation intersectorielle des Fonds</w:t>
            </w:r>
            <w:r>
              <w:rPr>
                <w:sz w:val="20"/>
                <w:szCs w:val="20"/>
                <w:u w:val="single"/>
                <w:lang w:val="en-GB"/>
              </w:rPr>
              <w:t xml:space="preserve">  </w:t>
            </w:r>
          </w:p>
          <w:p w14:paraId="01D915B1" w14:textId="1AA4D556" w:rsidR="00B0524B" w:rsidRPr="0018556E" w:rsidRDefault="0018556E" w:rsidP="0018556E">
            <w:pPr>
              <w:pStyle w:val="ListParagraph"/>
              <w:numPr>
                <w:ilvl w:val="0"/>
                <w:numId w:val="13"/>
              </w:numPr>
              <w:spacing w:before="80" w:after="80"/>
              <w:jc w:val="both"/>
              <w:rPr>
                <w:b/>
                <w:sz w:val="20"/>
                <w:szCs w:val="20"/>
                <w:lang w:val="fr-FR"/>
              </w:rPr>
            </w:pPr>
            <w:r w:rsidRPr="0018556E">
              <w:rPr>
                <w:sz w:val="20"/>
                <w:szCs w:val="20"/>
                <w:lang w:val="fr-FR"/>
              </w:rPr>
              <w:lastRenderedPageBreak/>
              <w:t>Des mécanismes intersectoriels ont été mis en place lorsque le financement était principalement disponible dans un secteur et que la prestation était planifiée par l’autre pour maximiser l’impact sur les enfants (</w:t>
            </w:r>
            <w:r w:rsidRPr="0018556E">
              <w:rPr>
                <w:b/>
                <w:sz w:val="20"/>
                <w:szCs w:val="20"/>
                <w:lang w:val="fr-FR"/>
              </w:rPr>
              <w:t>Soudan du Sud</w:t>
            </w:r>
            <w:r w:rsidRPr="0018556E">
              <w:rPr>
                <w:sz w:val="20"/>
                <w:szCs w:val="20"/>
                <w:lang w:val="fr-FR"/>
              </w:rPr>
              <w:t xml:space="preserve"> – PSS financé par le C</w:t>
            </w:r>
            <w:r w:rsidR="00E737F3">
              <w:rPr>
                <w:sz w:val="20"/>
                <w:szCs w:val="20"/>
                <w:lang w:val="fr-FR"/>
              </w:rPr>
              <w:t xml:space="preserve">luster </w:t>
            </w:r>
            <w:r w:rsidRPr="0018556E">
              <w:rPr>
                <w:sz w:val="20"/>
                <w:szCs w:val="20"/>
                <w:lang w:val="fr-FR"/>
              </w:rPr>
              <w:t>P</w:t>
            </w:r>
            <w:r w:rsidR="00E737F3">
              <w:rPr>
                <w:sz w:val="20"/>
                <w:szCs w:val="20"/>
                <w:lang w:val="fr-FR"/>
              </w:rPr>
              <w:t>rotection</w:t>
            </w:r>
            <w:r w:rsidRPr="0018556E">
              <w:rPr>
                <w:sz w:val="20"/>
                <w:szCs w:val="20"/>
                <w:lang w:val="fr-FR"/>
              </w:rPr>
              <w:t>, fourni par les enseignants)</w:t>
            </w:r>
            <w:r>
              <w:rPr>
                <w:sz w:val="20"/>
                <w:szCs w:val="20"/>
                <w:lang w:val="fr-FR"/>
              </w:rPr>
              <w:t xml:space="preserve">    </w:t>
            </w:r>
          </w:p>
        </w:tc>
      </w:tr>
      <w:tr w:rsidR="00CE6D67" w:rsidRPr="00E503B1" w14:paraId="4706A705" w14:textId="77777777" w:rsidTr="00D2627E">
        <w:trPr>
          <w:trHeight w:val="278"/>
        </w:trPr>
        <w:tc>
          <w:tcPr>
            <w:tcW w:w="14601" w:type="dxa"/>
            <w:gridSpan w:val="3"/>
            <w:shd w:val="clear" w:color="auto" w:fill="87BE28"/>
            <w:vAlign w:val="center"/>
          </w:tcPr>
          <w:p w14:paraId="1917F45F" w14:textId="3BEA1980" w:rsidR="00CE6D67" w:rsidRPr="00CE6D67" w:rsidRDefault="00CE6D67" w:rsidP="00E70904">
            <w:pPr>
              <w:jc w:val="center"/>
              <w:rPr>
                <w:b/>
                <w:bCs/>
                <w:color w:val="FFFFFF" w:themeColor="background1"/>
                <w:sz w:val="20"/>
                <w:szCs w:val="20"/>
                <w:lang w:val="en-GB"/>
              </w:rPr>
            </w:pPr>
            <w:r>
              <w:rPr>
                <w:b/>
                <w:bCs/>
                <w:color w:val="FFFFFF" w:themeColor="background1"/>
                <w:sz w:val="20"/>
                <w:szCs w:val="20"/>
                <w:lang w:val="en-GB"/>
              </w:rPr>
              <w:lastRenderedPageBreak/>
              <w:t>GLOBAL LEVEL RESOURCES</w:t>
            </w:r>
          </w:p>
        </w:tc>
      </w:tr>
      <w:tr w:rsidR="00CE3CA7" w:rsidRPr="00E437A5" w14:paraId="75C911F7" w14:textId="77777777" w:rsidTr="00D2627E">
        <w:tc>
          <w:tcPr>
            <w:tcW w:w="3828" w:type="dxa"/>
          </w:tcPr>
          <w:p w14:paraId="66522090" w14:textId="27749AC1" w:rsidR="00E70904" w:rsidRPr="0095551A" w:rsidRDefault="006920E3" w:rsidP="0095551A">
            <w:pPr>
              <w:pStyle w:val="ListParagraph"/>
              <w:numPr>
                <w:ilvl w:val="0"/>
                <w:numId w:val="13"/>
              </w:numPr>
              <w:spacing w:before="40"/>
              <w:rPr>
                <w:rFonts w:eastAsia="Times New Roman"/>
                <w:sz w:val="20"/>
                <w:szCs w:val="20"/>
                <w:lang w:val="fr-FR"/>
              </w:rPr>
            </w:pPr>
            <w:r w:rsidRPr="0095551A">
              <w:rPr>
                <w:rFonts w:eastAsia="Times New Roman"/>
                <w:sz w:val="20"/>
                <w:szCs w:val="20"/>
                <w:lang w:val="fr-FR"/>
              </w:rPr>
              <w:t xml:space="preserve">Exemple d’analyse de haut niveau des donneurs de CP-EiE </w:t>
            </w:r>
            <w:r w:rsidR="00E70904" w:rsidRPr="0095551A">
              <w:rPr>
                <w:rFonts w:eastAsia="Times New Roman"/>
                <w:sz w:val="20"/>
                <w:szCs w:val="20"/>
                <w:lang w:val="fr-FR"/>
              </w:rPr>
              <w:t>(</w:t>
            </w:r>
            <w:hyperlink r:id="rId12" w:history="1">
              <w:r w:rsidR="00E70904" w:rsidRPr="0095551A">
                <w:rPr>
                  <w:rStyle w:val="Hyperlink"/>
                  <w:rFonts w:eastAsia="Times New Roman"/>
                  <w:sz w:val="20"/>
                  <w:szCs w:val="20"/>
                  <w:lang w:val="fr-FR"/>
                </w:rPr>
                <w:t>Annex</w:t>
              </w:r>
              <w:r w:rsidR="00A155CF">
                <w:rPr>
                  <w:rStyle w:val="Hyperlink"/>
                  <w:rFonts w:eastAsia="Times New Roman"/>
                  <w:sz w:val="20"/>
                  <w:szCs w:val="20"/>
                  <w:lang w:val="fr-FR"/>
                </w:rPr>
                <w:t>e</w:t>
              </w:r>
              <w:r w:rsidR="00E70904" w:rsidRPr="0095551A">
                <w:rPr>
                  <w:rStyle w:val="Hyperlink"/>
                  <w:rFonts w:eastAsia="Times New Roman"/>
                  <w:sz w:val="20"/>
                  <w:szCs w:val="20"/>
                  <w:lang w:val="fr-FR"/>
                </w:rPr>
                <w:t xml:space="preserve"> 9</w:t>
              </w:r>
            </w:hyperlink>
            <w:r w:rsidR="00E70904" w:rsidRPr="0095551A">
              <w:rPr>
                <w:rFonts w:eastAsia="Times New Roman"/>
                <w:sz w:val="20"/>
                <w:szCs w:val="20"/>
                <w:lang w:val="fr-FR"/>
              </w:rPr>
              <w:t>)</w:t>
            </w:r>
          </w:p>
          <w:p w14:paraId="4DEED615" w14:textId="1AE78D64" w:rsidR="001C52DE" w:rsidRPr="0095551A" w:rsidRDefault="00007FA1" w:rsidP="0095551A">
            <w:pPr>
              <w:pStyle w:val="ListParagraph"/>
              <w:numPr>
                <w:ilvl w:val="0"/>
                <w:numId w:val="8"/>
              </w:numPr>
              <w:spacing w:before="40"/>
              <w:rPr>
                <w:rFonts w:eastAsia="Times New Roman"/>
                <w:sz w:val="20"/>
                <w:szCs w:val="20"/>
                <w:lang w:val="fr-FR"/>
              </w:rPr>
            </w:pPr>
            <w:r>
              <w:rPr>
                <w:rFonts w:eastAsia="Times New Roman"/>
                <w:sz w:val="20"/>
                <w:szCs w:val="20"/>
                <w:lang w:val="fr-FR"/>
              </w:rPr>
              <w:t>Pour les considérations liées au</w:t>
            </w:r>
            <w:r w:rsidR="006920E3" w:rsidRPr="006920E3">
              <w:rPr>
                <w:rFonts w:eastAsia="Times New Roman"/>
                <w:sz w:val="20"/>
                <w:szCs w:val="20"/>
                <w:lang w:val="fr-FR"/>
              </w:rPr>
              <w:t xml:space="preserve"> genre dans la mobilisation des ressources, voir </w:t>
            </w:r>
            <w:r w:rsidR="006920E3" w:rsidRPr="0095551A">
              <w:rPr>
                <w:rFonts w:eastAsia="Times New Roman"/>
                <w:color w:val="4472C4" w:themeColor="accent1"/>
                <w:sz w:val="20"/>
                <w:szCs w:val="20"/>
                <w:lang w:val="fr-FR"/>
              </w:rPr>
              <w:t xml:space="preserve">la note d’orientation de l’INEE sur le genre </w:t>
            </w:r>
            <w:r w:rsidR="006920E3" w:rsidRPr="006920E3">
              <w:rPr>
                <w:rFonts w:eastAsia="Times New Roman"/>
                <w:sz w:val="20"/>
                <w:szCs w:val="20"/>
                <w:lang w:val="fr-FR"/>
              </w:rPr>
              <w:t>(2019) pour les s</w:t>
            </w:r>
            <w:r w:rsidR="0095551A">
              <w:rPr>
                <w:rFonts w:eastAsia="Times New Roman"/>
                <w:sz w:val="20"/>
                <w:szCs w:val="20"/>
                <w:lang w:val="fr-FR"/>
              </w:rPr>
              <w:t>tratégies de financement de l’Ei</w:t>
            </w:r>
            <w:r>
              <w:rPr>
                <w:rFonts w:eastAsia="Times New Roman"/>
                <w:sz w:val="20"/>
                <w:szCs w:val="20"/>
                <w:lang w:val="fr-FR"/>
              </w:rPr>
              <w:t xml:space="preserve">E qui tiennent compte du </w:t>
            </w:r>
            <w:r w:rsidR="006920E3" w:rsidRPr="006920E3">
              <w:rPr>
                <w:rFonts w:eastAsia="Times New Roman"/>
                <w:sz w:val="20"/>
                <w:szCs w:val="20"/>
                <w:lang w:val="fr-FR"/>
              </w:rPr>
              <w:t xml:space="preserve">genre p. 97-98    </w:t>
            </w:r>
          </w:p>
        </w:tc>
        <w:tc>
          <w:tcPr>
            <w:tcW w:w="1418" w:type="dxa"/>
          </w:tcPr>
          <w:p w14:paraId="5E97C1AA" w14:textId="116828CF" w:rsidR="00CE3CA7" w:rsidRPr="006920E3" w:rsidRDefault="00CE3CA7" w:rsidP="00E70904">
            <w:pPr>
              <w:spacing w:before="80" w:after="80"/>
              <w:jc w:val="both"/>
              <w:rPr>
                <w:sz w:val="20"/>
                <w:szCs w:val="20"/>
                <w:lang w:val="fr-FR"/>
              </w:rPr>
            </w:pPr>
          </w:p>
        </w:tc>
        <w:tc>
          <w:tcPr>
            <w:tcW w:w="9355" w:type="dxa"/>
          </w:tcPr>
          <w:p w14:paraId="7EED6F05" w14:textId="4E2C2B5A" w:rsidR="00CE3CA7" w:rsidRPr="00041D95" w:rsidRDefault="00041D95" w:rsidP="00041D95">
            <w:pPr>
              <w:pStyle w:val="ListParagraph"/>
              <w:numPr>
                <w:ilvl w:val="0"/>
                <w:numId w:val="8"/>
              </w:numPr>
              <w:spacing w:before="40"/>
              <w:rPr>
                <w:sz w:val="20"/>
                <w:szCs w:val="20"/>
                <w:u w:val="single"/>
                <w:lang w:val="fr-FR"/>
              </w:rPr>
            </w:pPr>
            <w:r w:rsidRPr="00041D95">
              <w:rPr>
                <w:sz w:val="20"/>
                <w:szCs w:val="20"/>
                <w:lang w:val="fr-FR"/>
              </w:rPr>
              <w:t>Considérat</w:t>
            </w:r>
            <w:r w:rsidR="001051B4">
              <w:rPr>
                <w:sz w:val="20"/>
                <w:szCs w:val="20"/>
                <w:lang w:val="fr-FR"/>
              </w:rPr>
              <w:t>ions relatives au contrô</w:t>
            </w:r>
            <w:r>
              <w:rPr>
                <w:sz w:val="20"/>
                <w:szCs w:val="20"/>
                <w:lang w:val="fr-FR"/>
              </w:rPr>
              <w:t>l</w:t>
            </w:r>
            <w:r w:rsidR="001051B4">
              <w:rPr>
                <w:sz w:val="20"/>
                <w:szCs w:val="20"/>
                <w:lang w:val="fr-FR"/>
              </w:rPr>
              <w:t>e</w:t>
            </w:r>
            <w:r w:rsidRPr="00041D95">
              <w:rPr>
                <w:sz w:val="20"/>
                <w:szCs w:val="20"/>
                <w:lang w:val="fr-FR"/>
              </w:rPr>
              <w:t xml:space="preserve"> des projets conjoints</w:t>
            </w:r>
            <w:r w:rsidR="00E70904" w:rsidRPr="00041D95">
              <w:rPr>
                <w:sz w:val="20"/>
                <w:szCs w:val="20"/>
                <w:lang w:val="fr-FR"/>
              </w:rPr>
              <w:t xml:space="preserve"> (</w:t>
            </w:r>
            <w:hyperlink r:id="rId13" w:history="1">
              <w:r w:rsidR="00E70904" w:rsidRPr="00041D95">
                <w:rPr>
                  <w:rStyle w:val="Hyperlink"/>
                  <w:sz w:val="20"/>
                  <w:szCs w:val="20"/>
                  <w:lang w:val="fr-FR"/>
                </w:rPr>
                <w:t>Annex</w:t>
              </w:r>
              <w:r w:rsidR="00216FE7">
                <w:rPr>
                  <w:rStyle w:val="Hyperlink"/>
                  <w:sz w:val="20"/>
                  <w:szCs w:val="20"/>
                  <w:lang w:val="fr-FR"/>
                </w:rPr>
                <w:t>e</w:t>
              </w:r>
              <w:r w:rsidR="00E70904" w:rsidRPr="00041D95">
                <w:rPr>
                  <w:rStyle w:val="Hyperlink"/>
                  <w:sz w:val="20"/>
                  <w:szCs w:val="20"/>
                  <w:lang w:val="fr-FR"/>
                </w:rPr>
                <w:t xml:space="preserve"> 10</w:t>
              </w:r>
            </w:hyperlink>
            <w:r w:rsidR="00E70904" w:rsidRPr="00041D95">
              <w:rPr>
                <w:sz w:val="20"/>
                <w:szCs w:val="20"/>
                <w:lang w:val="fr-FR"/>
              </w:rPr>
              <w:t>)</w:t>
            </w:r>
          </w:p>
        </w:tc>
      </w:tr>
    </w:tbl>
    <w:p w14:paraId="58FA40EC" w14:textId="77777777" w:rsidR="00CE3CA7" w:rsidRPr="00041D95" w:rsidRDefault="00CE3CA7" w:rsidP="00CD5E03">
      <w:pPr>
        <w:rPr>
          <w:b/>
          <w:lang w:val="fr-FR"/>
        </w:rPr>
      </w:pPr>
    </w:p>
    <w:sectPr w:rsidR="00CE3CA7" w:rsidRPr="00041D95" w:rsidSect="00D2627E">
      <w:headerReference w:type="default" r:id="rId14"/>
      <w:pgSz w:w="15840" w:h="12240" w:orient="landscape"/>
      <w:pgMar w:top="1135" w:right="1440" w:bottom="19" w:left="1440" w:header="4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72AA4" w14:textId="77777777" w:rsidR="0033594D" w:rsidRDefault="0033594D" w:rsidP="004D291C">
      <w:pPr>
        <w:spacing w:after="0" w:line="240" w:lineRule="auto"/>
      </w:pPr>
      <w:r>
        <w:separator/>
      </w:r>
    </w:p>
  </w:endnote>
  <w:endnote w:type="continuationSeparator" w:id="0">
    <w:p w14:paraId="061B8269" w14:textId="77777777" w:rsidR="0033594D" w:rsidRDefault="0033594D"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B45F5" w14:textId="77777777" w:rsidR="0033594D" w:rsidRDefault="0033594D" w:rsidP="004D291C">
      <w:pPr>
        <w:spacing w:after="0" w:line="240" w:lineRule="auto"/>
      </w:pPr>
      <w:r>
        <w:separator/>
      </w:r>
    </w:p>
  </w:footnote>
  <w:footnote w:type="continuationSeparator" w:id="0">
    <w:p w14:paraId="032950C8" w14:textId="77777777" w:rsidR="0033594D" w:rsidRDefault="0033594D" w:rsidP="004D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C72A7" w14:textId="57A2DED5" w:rsidR="00CD5E03" w:rsidRPr="00D542DE" w:rsidRDefault="0033594D" w:rsidP="00D2627E">
    <w:pPr>
      <w:jc w:val="center"/>
      <w:rPr>
        <w:color w:val="0563C1" w:themeColor="hyperlink"/>
        <w:sz w:val="28"/>
        <w:szCs w:val="28"/>
        <w:u w:val="single"/>
        <w:lang w:val="fr-FR"/>
      </w:rPr>
    </w:pPr>
    <w:hyperlink r:id="rId1" w:history="1">
      <w:r w:rsidR="00D542DE" w:rsidRPr="00D542DE">
        <w:rPr>
          <w:rStyle w:val="Hyperlink"/>
          <w:sz w:val="28"/>
          <w:szCs w:val="28"/>
          <w:lang w:val="fr-FR"/>
        </w:rPr>
        <w:t>Package</w:t>
      </w:r>
    </w:hyperlink>
    <w:r w:rsidR="00D2627E" w:rsidRPr="00BB34F7">
      <w:rPr>
        <w:noProof/>
        <w:sz w:val="28"/>
        <w:szCs w:val="28"/>
        <w:u w:val="single"/>
        <w:lang w:val="fr-FR" w:eastAsia="fr-FR"/>
      </w:rPr>
      <w:drawing>
        <wp:anchor distT="0" distB="0" distL="114300" distR="114300" simplePos="0" relativeHeight="251659264" behindDoc="0" locked="0" layoutInCell="1" allowOverlap="1" wp14:anchorId="399BAD79" wp14:editId="245AC6A3">
          <wp:simplePos x="0" y="0"/>
          <wp:positionH relativeFrom="column">
            <wp:posOffset>8126095</wp:posOffset>
          </wp:positionH>
          <wp:positionV relativeFrom="paragraph">
            <wp:posOffset>11430</wp:posOffset>
          </wp:positionV>
          <wp:extent cx="735330" cy="266065"/>
          <wp:effectExtent l="0" t="0" r="7620" b="635"/>
          <wp:wrapNone/>
          <wp:docPr id="45"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00D2627E" w:rsidRPr="00BB34F7">
      <w:rPr>
        <w:noProof/>
        <w:sz w:val="28"/>
        <w:szCs w:val="28"/>
        <w:u w:val="single"/>
        <w:lang w:val="fr-FR" w:eastAsia="fr-FR"/>
      </w:rPr>
      <w:drawing>
        <wp:anchor distT="0" distB="0" distL="114300" distR="114300" simplePos="0" relativeHeight="251660288" behindDoc="0" locked="0" layoutInCell="1" allowOverlap="1" wp14:anchorId="49832039" wp14:editId="46780FB6">
          <wp:simplePos x="0" y="0"/>
          <wp:positionH relativeFrom="column">
            <wp:posOffset>7346315</wp:posOffset>
          </wp:positionH>
          <wp:positionV relativeFrom="paragraph">
            <wp:posOffset>-132715</wp:posOffset>
          </wp:positionV>
          <wp:extent cx="707390" cy="472440"/>
          <wp:effectExtent l="0" t="0" r="0" b="3810"/>
          <wp:wrapNone/>
          <wp:docPr id="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r w:rsidR="00D2627E" w:rsidRPr="00D542DE">
      <w:rPr>
        <w:sz w:val="28"/>
        <w:szCs w:val="28"/>
        <w:u w:val="single"/>
        <w:lang w:val="fr-FR"/>
      </w:rPr>
      <w:t xml:space="preserve"> </w:t>
    </w:r>
    <w:r w:rsidR="00D542DE">
      <w:rPr>
        <w:sz w:val="28"/>
        <w:szCs w:val="28"/>
        <w:u w:val="single"/>
        <w:lang w:val="fr-FR"/>
      </w:rPr>
      <w:t xml:space="preserve">du </w:t>
    </w:r>
    <w:r w:rsidR="00D542DE" w:rsidRPr="00D542DE">
      <w:rPr>
        <w:sz w:val="28"/>
        <w:szCs w:val="28"/>
        <w:u w:val="single"/>
        <w:lang w:val="fr-FR"/>
      </w:rPr>
      <w:t xml:space="preserve">Cadre de </w:t>
    </w:r>
    <w:r w:rsidR="00D2627E" w:rsidRPr="00D542DE">
      <w:rPr>
        <w:sz w:val="28"/>
        <w:szCs w:val="28"/>
        <w:u w:val="single"/>
        <w:lang w:val="fr-FR"/>
      </w:rPr>
      <w:t xml:space="preserve">Collaboration </w:t>
    </w:r>
    <w:r w:rsidR="00D542DE" w:rsidRPr="00D542DE">
      <w:rPr>
        <w:sz w:val="28"/>
        <w:szCs w:val="28"/>
        <w:u w:val="single"/>
        <w:lang w:val="fr-FR"/>
      </w:rPr>
      <w:t xml:space="preserve">CP-EiE </w:t>
    </w:r>
  </w:p>
  <w:p w14:paraId="0405900E" w14:textId="77777777" w:rsidR="002637AA" w:rsidRPr="003B2D91" w:rsidRDefault="002637AA">
    <w:pP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10C9D"/>
    <w:multiLevelType w:val="multilevel"/>
    <w:tmpl w:val="2C52B85A"/>
    <w:lvl w:ilvl="0">
      <w:start w:val="2"/>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18207B6"/>
    <w:multiLevelType w:val="hybridMultilevel"/>
    <w:tmpl w:val="E9B0B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3010C"/>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3065F"/>
    <w:multiLevelType w:val="hybridMultilevel"/>
    <w:tmpl w:val="4E8E0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71096"/>
    <w:multiLevelType w:val="hybridMultilevel"/>
    <w:tmpl w:val="17127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F16628"/>
    <w:multiLevelType w:val="hybridMultilevel"/>
    <w:tmpl w:val="893A01EC"/>
    <w:lvl w:ilvl="0" w:tplc="B49433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F183B"/>
    <w:multiLevelType w:val="hybridMultilevel"/>
    <w:tmpl w:val="82FC5CCC"/>
    <w:lvl w:ilvl="0" w:tplc="613CD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21225F"/>
    <w:multiLevelType w:val="hybridMultilevel"/>
    <w:tmpl w:val="A4C00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600E7A"/>
    <w:multiLevelType w:val="hybridMultilevel"/>
    <w:tmpl w:val="1E585CA4"/>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77" w:hanging="360"/>
      </w:pPr>
      <w:rPr>
        <w:rFonts w:ascii="Courier New" w:hAnsi="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E97065"/>
    <w:multiLevelType w:val="hybridMultilevel"/>
    <w:tmpl w:val="613E0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773B1C"/>
    <w:multiLevelType w:val="hybridMultilevel"/>
    <w:tmpl w:val="19320DB2"/>
    <w:lvl w:ilvl="0" w:tplc="04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6543F2"/>
    <w:multiLevelType w:val="hybridMultilevel"/>
    <w:tmpl w:val="E0EE8D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19"/>
  </w:num>
  <w:num w:numId="5">
    <w:abstractNumId w:val="8"/>
  </w:num>
  <w:num w:numId="6">
    <w:abstractNumId w:val="15"/>
  </w:num>
  <w:num w:numId="7">
    <w:abstractNumId w:val="11"/>
  </w:num>
  <w:num w:numId="8">
    <w:abstractNumId w:val="2"/>
  </w:num>
  <w:num w:numId="9">
    <w:abstractNumId w:val="14"/>
  </w:num>
  <w:num w:numId="10">
    <w:abstractNumId w:val="16"/>
  </w:num>
  <w:num w:numId="11">
    <w:abstractNumId w:val="5"/>
  </w:num>
  <w:num w:numId="12">
    <w:abstractNumId w:val="1"/>
  </w:num>
  <w:num w:numId="13">
    <w:abstractNumId w:val="17"/>
  </w:num>
  <w:num w:numId="14">
    <w:abstractNumId w:val="10"/>
  </w:num>
  <w:num w:numId="15">
    <w:abstractNumId w:val="13"/>
  </w:num>
  <w:num w:numId="16">
    <w:abstractNumId w:val="4"/>
  </w:num>
  <w:num w:numId="17">
    <w:abstractNumId w:val="12"/>
  </w:num>
  <w:num w:numId="18">
    <w:abstractNumId w:val="0"/>
  </w:num>
  <w:num w:numId="19">
    <w:abstractNumId w:val="7"/>
  </w:num>
  <w:num w:numId="2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158"/>
    <w:rsid w:val="00001014"/>
    <w:rsid w:val="000034C1"/>
    <w:rsid w:val="00007FA1"/>
    <w:rsid w:val="00011D71"/>
    <w:rsid w:val="0001289B"/>
    <w:rsid w:val="00012BFE"/>
    <w:rsid w:val="0001519E"/>
    <w:rsid w:val="00022B17"/>
    <w:rsid w:val="00025716"/>
    <w:rsid w:val="00033951"/>
    <w:rsid w:val="00036301"/>
    <w:rsid w:val="000418ED"/>
    <w:rsid w:val="00041A65"/>
    <w:rsid w:val="00041D95"/>
    <w:rsid w:val="00050997"/>
    <w:rsid w:val="00056FDA"/>
    <w:rsid w:val="00061E8A"/>
    <w:rsid w:val="00062C1C"/>
    <w:rsid w:val="0006684F"/>
    <w:rsid w:val="00067196"/>
    <w:rsid w:val="000673F8"/>
    <w:rsid w:val="00082011"/>
    <w:rsid w:val="00087B42"/>
    <w:rsid w:val="0009006D"/>
    <w:rsid w:val="000A1FD1"/>
    <w:rsid w:val="000A5B51"/>
    <w:rsid w:val="000A7EA9"/>
    <w:rsid w:val="000B161C"/>
    <w:rsid w:val="000B47A3"/>
    <w:rsid w:val="000C681F"/>
    <w:rsid w:val="000C7076"/>
    <w:rsid w:val="000D18AF"/>
    <w:rsid w:val="000D3CB3"/>
    <w:rsid w:val="000D459D"/>
    <w:rsid w:val="000D677B"/>
    <w:rsid w:val="000D7537"/>
    <w:rsid w:val="000E2813"/>
    <w:rsid w:val="000E73B2"/>
    <w:rsid w:val="000F0513"/>
    <w:rsid w:val="000F1BD0"/>
    <w:rsid w:val="000F1D4C"/>
    <w:rsid w:val="000F7693"/>
    <w:rsid w:val="00102D37"/>
    <w:rsid w:val="001051B4"/>
    <w:rsid w:val="00106158"/>
    <w:rsid w:val="001116BE"/>
    <w:rsid w:val="00113195"/>
    <w:rsid w:val="00114290"/>
    <w:rsid w:val="00114737"/>
    <w:rsid w:val="00122DF5"/>
    <w:rsid w:val="001274AF"/>
    <w:rsid w:val="00132128"/>
    <w:rsid w:val="00135FBE"/>
    <w:rsid w:val="00137ACE"/>
    <w:rsid w:val="00141530"/>
    <w:rsid w:val="0014219F"/>
    <w:rsid w:val="001505EA"/>
    <w:rsid w:val="0016174F"/>
    <w:rsid w:val="00164D0C"/>
    <w:rsid w:val="001671A4"/>
    <w:rsid w:val="001711FB"/>
    <w:rsid w:val="00173975"/>
    <w:rsid w:val="00175636"/>
    <w:rsid w:val="001815CE"/>
    <w:rsid w:val="00184224"/>
    <w:rsid w:val="0018556E"/>
    <w:rsid w:val="00186F43"/>
    <w:rsid w:val="00190D2B"/>
    <w:rsid w:val="00192A64"/>
    <w:rsid w:val="001937B0"/>
    <w:rsid w:val="001A3DCB"/>
    <w:rsid w:val="001A79B2"/>
    <w:rsid w:val="001B0597"/>
    <w:rsid w:val="001C03BE"/>
    <w:rsid w:val="001C17D1"/>
    <w:rsid w:val="001C3B6E"/>
    <w:rsid w:val="001C4EDD"/>
    <w:rsid w:val="001C52DE"/>
    <w:rsid w:val="001C638F"/>
    <w:rsid w:val="001C64EF"/>
    <w:rsid w:val="001D055B"/>
    <w:rsid w:val="001D5415"/>
    <w:rsid w:val="001D6E3D"/>
    <w:rsid w:val="001D718C"/>
    <w:rsid w:val="001E0905"/>
    <w:rsid w:val="001E18E4"/>
    <w:rsid w:val="001E23A7"/>
    <w:rsid w:val="001E752F"/>
    <w:rsid w:val="001E7FF2"/>
    <w:rsid w:val="001F4C71"/>
    <w:rsid w:val="00202BB4"/>
    <w:rsid w:val="00206B18"/>
    <w:rsid w:val="002107D4"/>
    <w:rsid w:val="00211DB4"/>
    <w:rsid w:val="00215ABA"/>
    <w:rsid w:val="00216061"/>
    <w:rsid w:val="00216FE7"/>
    <w:rsid w:val="002218C1"/>
    <w:rsid w:val="00223E3E"/>
    <w:rsid w:val="00224356"/>
    <w:rsid w:val="00224850"/>
    <w:rsid w:val="002346AD"/>
    <w:rsid w:val="00234DC8"/>
    <w:rsid w:val="002414C2"/>
    <w:rsid w:val="00244BE9"/>
    <w:rsid w:val="00247847"/>
    <w:rsid w:val="00255719"/>
    <w:rsid w:val="0025671B"/>
    <w:rsid w:val="00260D50"/>
    <w:rsid w:val="002634B4"/>
    <w:rsid w:val="002637AA"/>
    <w:rsid w:val="00270B9F"/>
    <w:rsid w:val="00273121"/>
    <w:rsid w:val="00274D92"/>
    <w:rsid w:val="00285546"/>
    <w:rsid w:val="00285EB5"/>
    <w:rsid w:val="002862AA"/>
    <w:rsid w:val="00286734"/>
    <w:rsid w:val="0028785D"/>
    <w:rsid w:val="002916D1"/>
    <w:rsid w:val="00292F07"/>
    <w:rsid w:val="0029492F"/>
    <w:rsid w:val="002950E2"/>
    <w:rsid w:val="002A1919"/>
    <w:rsid w:val="002A1AEF"/>
    <w:rsid w:val="002A3296"/>
    <w:rsid w:val="002A41B2"/>
    <w:rsid w:val="002A49A2"/>
    <w:rsid w:val="002A60C7"/>
    <w:rsid w:val="002B00A0"/>
    <w:rsid w:val="002C008E"/>
    <w:rsid w:val="002C16E2"/>
    <w:rsid w:val="002C237F"/>
    <w:rsid w:val="002C321F"/>
    <w:rsid w:val="002C5F59"/>
    <w:rsid w:val="002C6D9D"/>
    <w:rsid w:val="002D1D87"/>
    <w:rsid w:val="002E32C5"/>
    <w:rsid w:val="002E38A0"/>
    <w:rsid w:val="002F056D"/>
    <w:rsid w:val="002F0B5E"/>
    <w:rsid w:val="002F0F3E"/>
    <w:rsid w:val="002F651F"/>
    <w:rsid w:val="003003DC"/>
    <w:rsid w:val="00303371"/>
    <w:rsid w:val="003040F4"/>
    <w:rsid w:val="00321B19"/>
    <w:rsid w:val="00324300"/>
    <w:rsid w:val="00324F1B"/>
    <w:rsid w:val="0033594D"/>
    <w:rsid w:val="00335FBF"/>
    <w:rsid w:val="00337728"/>
    <w:rsid w:val="00340288"/>
    <w:rsid w:val="00342D7E"/>
    <w:rsid w:val="0034437D"/>
    <w:rsid w:val="0034666C"/>
    <w:rsid w:val="00350F5F"/>
    <w:rsid w:val="00355834"/>
    <w:rsid w:val="00372DEB"/>
    <w:rsid w:val="0037509F"/>
    <w:rsid w:val="003800E2"/>
    <w:rsid w:val="003806EF"/>
    <w:rsid w:val="00380DD2"/>
    <w:rsid w:val="003814DE"/>
    <w:rsid w:val="0038181B"/>
    <w:rsid w:val="00382596"/>
    <w:rsid w:val="00383CEC"/>
    <w:rsid w:val="00393660"/>
    <w:rsid w:val="003938B5"/>
    <w:rsid w:val="003A5AA5"/>
    <w:rsid w:val="003B2AF3"/>
    <w:rsid w:val="003B2D91"/>
    <w:rsid w:val="003B6381"/>
    <w:rsid w:val="003B7079"/>
    <w:rsid w:val="003C094B"/>
    <w:rsid w:val="003C77EC"/>
    <w:rsid w:val="003D5295"/>
    <w:rsid w:val="003D5400"/>
    <w:rsid w:val="003E1CED"/>
    <w:rsid w:val="003E6625"/>
    <w:rsid w:val="003F2478"/>
    <w:rsid w:val="003F2F47"/>
    <w:rsid w:val="003F5E97"/>
    <w:rsid w:val="0040071B"/>
    <w:rsid w:val="0040124B"/>
    <w:rsid w:val="0040225F"/>
    <w:rsid w:val="004123F5"/>
    <w:rsid w:val="00414ADA"/>
    <w:rsid w:val="004259DB"/>
    <w:rsid w:val="00426D43"/>
    <w:rsid w:val="00431084"/>
    <w:rsid w:val="004332F4"/>
    <w:rsid w:val="00435EEA"/>
    <w:rsid w:val="0043631D"/>
    <w:rsid w:val="00445040"/>
    <w:rsid w:val="00445746"/>
    <w:rsid w:val="00446BF3"/>
    <w:rsid w:val="004509C3"/>
    <w:rsid w:val="00471001"/>
    <w:rsid w:val="00472E55"/>
    <w:rsid w:val="00477380"/>
    <w:rsid w:val="00482F57"/>
    <w:rsid w:val="004879D9"/>
    <w:rsid w:val="00490550"/>
    <w:rsid w:val="004A0BC5"/>
    <w:rsid w:val="004B06EC"/>
    <w:rsid w:val="004B371A"/>
    <w:rsid w:val="004C0F5D"/>
    <w:rsid w:val="004C2B22"/>
    <w:rsid w:val="004C740D"/>
    <w:rsid w:val="004D291C"/>
    <w:rsid w:val="004D3424"/>
    <w:rsid w:val="004D3EB2"/>
    <w:rsid w:val="004D406B"/>
    <w:rsid w:val="004D47FF"/>
    <w:rsid w:val="004D69A2"/>
    <w:rsid w:val="004E1B6E"/>
    <w:rsid w:val="004F0211"/>
    <w:rsid w:val="004F5C2E"/>
    <w:rsid w:val="004F7085"/>
    <w:rsid w:val="0050222D"/>
    <w:rsid w:val="0050525A"/>
    <w:rsid w:val="00505DDE"/>
    <w:rsid w:val="00516DF4"/>
    <w:rsid w:val="005178D8"/>
    <w:rsid w:val="00523CAA"/>
    <w:rsid w:val="0052690D"/>
    <w:rsid w:val="00527DB5"/>
    <w:rsid w:val="00532059"/>
    <w:rsid w:val="00543561"/>
    <w:rsid w:val="00543F93"/>
    <w:rsid w:val="00546C3A"/>
    <w:rsid w:val="00551731"/>
    <w:rsid w:val="00551C0B"/>
    <w:rsid w:val="005544B8"/>
    <w:rsid w:val="00554EAC"/>
    <w:rsid w:val="00561F4A"/>
    <w:rsid w:val="00582ED7"/>
    <w:rsid w:val="005865BF"/>
    <w:rsid w:val="0059003F"/>
    <w:rsid w:val="0059094F"/>
    <w:rsid w:val="005946FD"/>
    <w:rsid w:val="00595E99"/>
    <w:rsid w:val="0059724D"/>
    <w:rsid w:val="005A05CD"/>
    <w:rsid w:val="005A0FB3"/>
    <w:rsid w:val="005A2FE4"/>
    <w:rsid w:val="005B34CE"/>
    <w:rsid w:val="005B55AF"/>
    <w:rsid w:val="005B7F3A"/>
    <w:rsid w:val="005D6B37"/>
    <w:rsid w:val="005D7227"/>
    <w:rsid w:val="005E04B4"/>
    <w:rsid w:val="005E09B2"/>
    <w:rsid w:val="005E195A"/>
    <w:rsid w:val="005E31CF"/>
    <w:rsid w:val="005E63D3"/>
    <w:rsid w:val="005E67DB"/>
    <w:rsid w:val="005F33BA"/>
    <w:rsid w:val="005F74BA"/>
    <w:rsid w:val="006071F7"/>
    <w:rsid w:val="00611F56"/>
    <w:rsid w:val="00621488"/>
    <w:rsid w:val="00621E3F"/>
    <w:rsid w:val="00624B6F"/>
    <w:rsid w:val="00625624"/>
    <w:rsid w:val="00626408"/>
    <w:rsid w:val="006328B5"/>
    <w:rsid w:val="00636382"/>
    <w:rsid w:val="00637199"/>
    <w:rsid w:val="00640ACE"/>
    <w:rsid w:val="0064119E"/>
    <w:rsid w:val="00641236"/>
    <w:rsid w:val="00641380"/>
    <w:rsid w:val="00641968"/>
    <w:rsid w:val="00646F54"/>
    <w:rsid w:val="006516CC"/>
    <w:rsid w:val="00651C60"/>
    <w:rsid w:val="00652EB7"/>
    <w:rsid w:val="00657C4E"/>
    <w:rsid w:val="0067419C"/>
    <w:rsid w:val="0067554B"/>
    <w:rsid w:val="00680B1B"/>
    <w:rsid w:val="0068446F"/>
    <w:rsid w:val="00687737"/>
    <w:rsid w:val="00687C6D"/>
    <w:rsid w:val="006920E3"/>
    <w:rsid w:val="006926BE"/>
    <w:rsid w:val="00695C0F"/>
    <w:rsid w:val="006A0B0D"/>
    <w:rsid w:val="006A3B2D"/>
    <w:rsid w:val="006B04E3"/>
    <w:rsid w:val="006B3F8D"/>
    <w:rsid w:val="006B74FC"/>
    <w:rsid w:val="006C234A"/>
    <w:rsid w:val="006C6813"/>
    <w:rsid w:val="006D2EEA"/>
    <w:rsid w:val="006D341B"/>
    <w:rsid w:val="006E1179"/>
    <w:rsid w:val="006E1F48"/>
    <w:rsid w:val="006E4032"/>
    <w:rsid w:val="006E71BC"/>
    <w:rsid w:val="006F3929"/>
    <w:rsid w:val="006F54C9"/>
    <w:rsid w:val="00701291"/>
    <w:rsid w:val="00705291"/>
    <w:rsid w:val="00705B23"/>
    <w:rsid w:val="007076E7"/>
    <w:rsid w:val="00715B06"/>
    <w:rsid w:val="007170A6"/>
    <w:rsid w:val="00720817"/>
    <w:rsid w:val="007236C3"/>
    <w:rsid w:val="00726FCA"/>
    <w:rsid w:val="007331EE"/>
    <w:rsid w:val="00744B91"/>
    <w:rsid w:val="00745B7E"/>
    <w:rsid w:val="00746ECB"/>
    <w:rsid w:val="00747885"/>
    <w:rsid w:val="0076300F"/>
    <w:rsid w:val="00763AB5"/>
    <w:rsid w:val="007647D9"/>
    <w:rsid w:val="007660A7"/>
    <w:rsid w:val="0076748A"/>
    <w:rsid w:val="00770AC4"/>
    <w:rsid w:val="00792D15"/>
    <w:rsid w:val="00795BD7"/>
    <w:rsid w:val="007A01AE"/>
    <w:rsid w:val="007A2463"/>
    <w:rsid w:val="007A3717"/>
    <w:rsid w:val="007B2120"/>
    <w:rsid w:val="007B3380"/>
    <w:rsid w:val="007B483E"/>
    <w:rsid w:val="007C5C9C"/>
    <w:rsid w:val="007D48B1"/>
    <w:rsid w:val="007E215C"/>
    <w:rsid w:val="007E7FAD"/>
    <w:rsid w:val="00805B7F"/>
    <w:rsid w:val="008079FE"/>
    <w:rsid w:val="008114E3"/>
    <w:rsid w:val="00815BEE"/>
    <w:rsid w:val="0082194F"/>
    <w:rsid w:val="00834373"/>
    <w:rsid w:val="00835CF0"/>
    <w:rsid w:val="00836307"/>
    <w:rsid w:val="00836822"/>
    <w:rsid w:val="0084593E"/>
    <w:rsid w:val="0085165F"/>
    <w:rsid w:val="0086095D"/>
    <w:rsid w:val="00861788"/>
    <w:rsid w:val="00866D81"/>
    <w:rsid w:val="00870BF1"/>
    <w:rsid w:val="0087725E"/>
    <w:rsid w:val="008828EB"/>
    <w:rsid w:val="008848F7"/>
    <w:rsid w:val="008978D3"/>
    <w:rsid w:val="008A4FDE"/>
    <w:rsid w:val="008A52AB"/>
    <w:rsid w:val="008B33A8"/>
    <w:rsid w:val="008B52AE"/>
    <w:rsid w:val="008C2E4B"/>
    <w:rsid w:val="008D3998"/>
    <w:rsid w:val="008D46B8"/>
    <w:rsid w:val="008D7384"/>
    <w:rsid w:val="008E0417"/>
    <w:rsid w:val="008E7343"/>
    <w:rsid w:val="008F1001"/>
    <w:rsid w:val="008F16D5"/>
    <w:rsid w:val="00900699"/>
    <w:rsid w:val="00903262"/>
    <w:rsid w:val="00903368"/>
    <w:rsid w:val="00905C7E"/>
    <w:rsid w:val="009063A8"/>
    <w:rsid w:val="0090749B"/>
    <w:rsid w:val="00911016"/>
    <w:rsid w:val="00913504"/>
    <w:rsid w:val="009142EB"/>
    <w:rsid w:val="00920741"/>
    <w:rsid w:val="0092263E"/>
    <w:rsid w:val="00926FC2"/>
    <w:rsid w:val="00932773"/>
    <w:rsid w:val="00934212"/>
    <w:rsid w:val="00937122"/>
    <w:rsid w:val="009414BA"/>
    <w:rsid w:val="009417EF"/>
    <w:rsid w:val="00942936"/>
    <w:rsid w:val="0094504A"/>
    <w:rsid w:val="0095551A"/>
    <w:rsid w:val="009578F1"/>
    <w:rsid w:val="009635F7"/>
    <w:rsid w:val="00966052"/>
    <w:rsid w:val="00966973"/>
    <w:rsid w:val="009779B4"/>
    <w:rsid w:val="00981CD9"/>
    <w:rsid w:val="00992A75"/>
    <w:rsid w:val="0099365F"/>
    <w:rsid w:val="009A5D66"/>
    <w:rsid w:val="009A5E0F"/>
    <w:rsid w:val="009A64CA"/>
    <w:rsid w:val="009B3B33"/>
    <w:rsid w:val="009C1D0A"/>
    <w:rsid w:val="009C3255"/>
    <w:rsid w:val="009C58C7"/>
    <w:rsid w:val="009C7903"/>
    <w:rsid w:val="009D2CCC"/>
    <w:rsid w:val="009D4FCA"/>
    <w:rsid w:val="009D7A23"/>
    <w:rsid w:val="009E25F8"/>
    <w:rsid w:val="009E34E8"/>
    <w:rsid w:val="009E4483"/>
    <w:rsid w:val="009E62ED"/>
    <w:rsid w:val="009F1D87"/>
    <w:rsid w:val="009F2EA0"/>
    <w:rsid w:val="009F498C"/>
    <w:rsid w:val="009F5304"/>
    <w:rsid w:val="009F60BB"/>
    <w:rsid w:val="009F762C"/>
    <w:rsid w:val="00A022D9"/>
    <w:rsid w:val="00A070B7"/>
    <w:rsid w:val="00A155CF"/>
    <w:rsid w:val="00A21626"/>
    <w:rsid w:val="00A241A2"/>
    <w:rsid w:val="00A25D2F"/>
    <w:rsid w:val="00A26CC0"/>
    <w:rsid w:val="00A340A7"/>
    <w:rsid w:val="00A347E7"/>
    <w:rsid w:val="00A35059"/>
    <w:rsid w:val="00A42F74"/>
    <w:rsid w:val="00A455D1"/>
    <w:rsid w:val="00A4583A"/>
    <w:rsid w:val="00A47F96"/>
    <w:rsid w:val="00A52FE0"/>
    <w:rsid w:val="00A54400"/>
    <w:rsid w:val="00A5481F"/>
    <w:rsid w:val="00A55C9D"/>
    <w:rsid w:val="00A560FA"/>
    <w:rsid w:val="00A568A6"/>
    <w:rsid w:val="00A605BB"/>
    <w:rsid w:val="00A62166"/>
    <w:rsid w:val="00A64477"/>
    <w:rsid w:val="00A700FC"/>
    <w:rsid w:val="00A702F0"/>
    <w:rsid w:val="00A72DED"/>
    <w:rsid w:val="00A75AE5"/>
    <w:rsid w:val="00A763EC"/>
    <w:rsid w:val="00A772E9"/>
    <w:rsid w:val="00A827B8"/>
    <w:rsid w:val="00A8443E"/>
    <w:rsid w:val="00A86B41"/>
    <w:rsid w:val="00A87968"/>
    <w:rsid w:val="00A92485"/>
    <w:rsid w:val="00A92FB4"/>
    <w:rsid w:val="00AA0CFB"/>
    <w:rsid w:val="00AA784E"/>
    <w:rsid w:val="00AA7FBE"/>
    <w:rsid w:val="00AB17AC"/>
    <w:rsid w:val="00AB4F5E"/>
    <w:rsid w:val="00AC2BBB"/>
    <w:rsid w:val="00AC41F4"/>
    <w:rsid w:val="00AC5113"/>
    <w:rsid w:val="00AD32AE"/>
    <w:rsid w:val="00AD503E"/>
    <w:rsid w:val="00AD6080"/>
    <w:rsid w:val="00AD63CB"/>
    <w:rsid w:val="00AE1389"/>
    <w:rsid w:val="00AE465D"/>
    <w:rsid w:val="00AE6D29"/>
    <w:rsid w:val="00AF0686"/>
    <w:rsid w:val="00AF2A11"/>
    <w:rsid w:val="00AF7C13"/>
    <w:rsid w:val="00B01CAA"/>
    <w:rsid w:val="00B02543"/>
    <w:rsid w:val="00B0524B"/>
    <w:rsid w:val="00B062B6"/>
    <w:rsid w:val="00B110B2"/>
    <w:rsid w:val="00B14C29"/>
    <w:rsid w:val="00B15FFC"/>
    <w:rsid w:val="00B1757D"/>
    <w:rsid w:val="00B21BE3"/>
    <w:rsid w:val="00B277EE"/>
    <w:rsid w:val="00B31C63"/>
    <w:rsid w:val="00B32159"/>
    <w:rsid w:val="00B3721D"/>
    <w:rsid w:val="00B37F94"/>
    <w:rsid w:val="00B47B47"/>
    <w:rsid w:val="00B533B5"/>
    <w:rsid w:val="00B5756E"/>
    <w:rsid w:val="00B610F1"/>
    <w:rsid w:val="00B642A7"/>
    <w:rsid w:val="00B6598B"/>
    <w:rsid w:val="00B67370"/>
    <w:rsid w:val="00B72726"/>
    <w:rsid w:val="00B74790"/>
    <w:rsid w:val="00B75805"/>
    <w:rsid w:val="00B76F99"/>
    <w:rsid w:val="00B828DA"/>
    <w:rsid w:val="00B85341"/>
    <w:rsid w:val="00B91D90"/>
    <w:rsid w:val="00B91E6E"/>
    <w:rsid w:val="00B94A43"/>
    <w:rsid w:val="00BA5F3F"/>
    <w:rsid w:val="00BB2951"/>
    <w:rsid w:val="00BB45F8"/>
    <w:rsid w:val="00BB5487"/>
    <w:rsid w:val="00BC0A5B"/>
    <w:rsid w:val="00BC2258"/>
    <w:rsid w:val="00BC32A6"/>
    <w:rsid w:val="00BC34B7"/>
    <w:rsid w:val="00BC4444"/>
    <w:rsid w:val="00BC4A2A"/>
    <w:rsid w:val="00BC61B6"/>
    <w:rsid w:val="00BD5800"/>
    <w:rsid w:val="00BD7869"/>
    <w:rsid w:val="00BE1135"/>
    <w:rsid w:val="00BE53A9"/>
    <w:rsid w:val="00BE7772"/>
    <w:rsid w:val="00BF1C01"/>
    <w:rsid w:val="00BF4649"/>
    <w:rsid w:val="00BF636D"/>
    <w:rsid w:val="00C019C6"/>
    <w:rsid w:val="00C0212E"/>
    <w:rsid w:val="00C04C2E"/>
    <w:rsid w:val="00C05D6A"/>
    <w:rsid w:val="00C2164C"/>
    <w:rsid w:val="00C37500"/>
    <w:rsid w:val="00C427D4"/>
    <w:rsid w:val="00C465B7"/>
    <w:rsid w:val="00C4710F"/>
    <w:rsid w:val="00C536E9"/>
    <w:rsid w:val="00C60B90"/>
    <w:rsid w:val="00C62304"/>
    <w:rsid w:val="00C62C6A"/>
    <w:rsid w:val="00C64218"/>
    <w:rsid w:val="00C64C13"/>
    <w:rsid w:val="00C66E52"/>
    <w:rsid w:val="00C67218"/>
    <w:rsid w:val="00C70F8D"/>
    <w:rsid w:val="00C72CEA"/>
    <w:rsid w:val="00C80FE9"/>
    <w:rsid w:val="00C8679F"/>
    <w:rsid w:val="00C87A95"/>
    <w:rsid w:val="00C91FDE"/>
    <w:rsid w:val="00C930E7"/>
    <w:rsid w:val="00CA02A9"/>
    <w:rsid w:val="00CA7ED8"/>
    <w:rsid w:val="00CB7B7D"/>
    <w:rsid w:val="00CC2454"/>
    <w:rsid w:val="00CC2DC5"/>
    <w:rsid w:val="00CC3762"/>
    <w:rsid w:val="00CC4A06"/>
    <w:rsid w:val="00CD5E03"/>
    <w:rsid w:val="00CD6D7E"/>
    <w:rsid w:val="00CE1BA0"/>
    <w:rsid w:val="00CE24DE"/>
    <w:rsid w:val="00CE3CA7"/>
    <w:rsid w:val="00CE6D67"/>
    <w:rsid w:val="00CF1E80"/>
    <w:rsid w:val="00CF510E"/>
    <w:rsid w:val="00CF5A8D"/>
    <w:rsid w:val="00CF5A97"/>
    <w:rsid w:val="00CF65CF"/>
    <w:rsid w:val="00D04051"/>
    <w:rsid w:val="00D04DF9"/>
    <w:rsid w:val="00D07C63"/>
    <w:rsid w:val="00D11B9B"/>
    <w:rsid w:val="00D22E82"/>
    <w:rsid w:val="00D246AE"/>
    <w:rsid w:val="00D24B2A"/>
    <w:rsid w:val="00D2627E"/>
    <w:rsid w:val="00D2746E"/>
    <w:rsid w:val="00D352C7"/>
    <w:rsid w:val="00D405B4"/>
    <w:rsid w:val="00D42C01"/>
    <w:rsid w:val="00D51B8A"/>
    <w:rsid w:val="00D520FB"/>
    <w:rsid w:val="00D542DE"/>
    <w:rsid w:val="00D549C9"/>
    <w:rsid w:val="00D56AEB"/>
    <w:rsid w:val="00D6480D"/>
    <w:rsid w:val="00D65F9A"/>
    <w:rsid w:val="00D705E1"/>
    <w:rsid w:val="00D70AED"/>
    <w:rsid w:val="00D72E6A"/>
    <w:rsid w:val="00D740D5"/>
    <w:rsid w:val="00D8049C"/>
    <w:rsid w:val="00D8182F"/>
    <w:rsid w:val="00D827A3"/>
    <w:rsid w:val="00D900C5"/>
    <w:rsid w:val="00D90ACE"/>
    <w:rsid w:val="00D91701"/>
    <w:rsid w:val="00D918E0"/>
    <w:rsid w:val="00D93679"/>
    <w:rsid w:val="00D94B95"/>
    <w:rsid w:val="00D962B0"/>
    <w:rsid w:val="00D978E0"/>
    <w:rsid w:val="00D97D4E"/>
    <w:rsid w:val="00DA085C"/>
    <w:rsid w:val="00DA2906"/>
    <w:rsid w:val="00DA7378"/>
    <w:rsid w:val="00DB2A4A"/>
    <w:rsid w:val="00DC01A2"/>
    <w:rsid w:val="00DC0DD1"/>
    <w:rsid w:val="00DC18BF"/>
    <w:rsid w:val="00DC1D71"/>
    <w:rsid w:val="00DC2876"/>
    <w:rsid w:val="00DC2F8D"/>
    <w:rsid w:val="00DC63BE"/>
    <w:rsid w:val="00DC667C"/>
    <w:rsid w:val="00DC76C2"/>
    <w:rsid w:val="00DD02B7"/>
    <w:rsid w:val="00DD3D29"/>
    <w:rsid w:val="00DD4DB8"/>
    <w:rsid w:val="00DD723C"/>
    <w:rsid w:val="00DE6FBD"/>
    <w:rsid w:val="00DF1AFE"/>
    <w:rsid w:val="00E0743E"/>
    <w:rsid w:val="00E07745"/>
    <w:rsid w:val="00E07F4B"/>
    <w:rsid w:val="00E1493A"/>
    <w:rsid w:val="00E16923"/>
    <w:rsid w:val="00E2064B"/>
    <w:rsid w:val="00E210F8"/>
    <w:rsid w:val="00E24017"/>
    <w:rsid w:val="00E25FA3"/>
    <w:rsid w:val="00E266C3"/>
    <w:rsid w:val="00E31158"/>
    <w:rsid w:val="00E32C29"/>
    <w:rsid w:val="00E35BC4"/>
    <w:rsid w:val="00E37EEB"/>
    <w:rsid w:val="00E401DF"/>
    <w:rsid w:val="00E42D48"/>
    <w:rsid w:val="00E4349C"/>
    <w:rsid w:val="00E437A5"/>
    <w:rsid w:val="00E43A5A"/>
    <w:rsid w:val="00E503B1"/>
    <w:rsid w:val="00E55321"/>
    <w:rsid w:val="00E61E45"/>
    <w:rsid w:val="00E63CB5"/>
    <w:rsid w:val="00E640BA"/>
    <w:rsid w:val="00E649EA"/>
    <w:rsid w:val="00E70904"/>
    <w:rsid w:val="00E70F9B"/>
    <w:rsid w:val="00E7364D"/>
    <w:rsid w:val="00E737F3"/>
    <w:rsid w:val="00E7638E"/>
    <w:rsid w:val="00E7654C"/>
    <w:rsid w:val="00E8107A"/>
    <w:rsid w:val="00E84889"/>
    <w:rsid w:val="00E877FD"/>
    <w:rsid w:val="00E91A21"/>
    <w:rsid w:val="00E91ADF"/>
    <w:rsid w:val="00E928AF"/>
    <w:rsid w:val="00E93E7A"/>
    <w:rsid w:val="00E9634C"/>
    <w:rsid w:val="00EA0199"/>
    <w:rsid w:val="00EA2818"/>
    <w:rsid w:val="00EA39E3"/>
    <w:rsid w:val="00EB3AC1"/>
    <w:rsid w:val="00EC0053"/>
    <w:rsid w:val="00EC7153"/>
    <w:rsid w:val="00EE781D"/>
    <w:rsid w:val="00EF09DB"/>
    <w:rsid w:val="00EF1A5D"/>
    <w:rsid w:val="00EF2887"/>
    <w:rsid w:val="00F02EAA"/>
    <w:rsid w:val="00F06260"/>
    <w:rsid w:val="00F06321"/>
    <w:rsid w:val="00F12014"/>
    <w:rsid w:val="00F14B75"/>
    <w:rsid w:val="00F161F4"/>
    <w:rsid w:val="00F16F23"/>
    <w:rsid w:val="00F20F8F"/>
    <w:rsid w:val="00F228EA"/>
    <w:rsid w:val="00F2375B"/>
    <w:rsid w:val="00F2689B"/>
    <w:rsid w:val="00F302D4"/>
    <w:rsid w:val="00F3059B"/>
    <w:rsid w:val="00F32AC3"/>
    <w:rsid w:val="00F37F62"/>
    <w:rsid w:val="00F60E57"/>
    <w:rsid w:val="00F64AAB"/>
    <w:rsid w:val="00F67BC5"/>
    <w:rsid w:val="00F70BF3"/>
    <w:rsid w:val="00F7176C"/>
    <w:rsid w:val="00F7185B"/>
    <w:rsid w:val="00F75189"/>
    <w:rsid w:val="00F80611"/>
    <w:rsid w:val="00F84055"/>
    <w:rsid w:val="00F849D4"/>
    <w:rsid w:val="00F87643"/>
    <w:rsid w:val="00F87CC0"/>
    <w:rsid w:val="00F94DF8"/>
    <w:rsid w:val="00FA1DCA"/>
    <w:rsid w:val="00FA36C1"/>
    <w:rsid w:val="00FB0C08"/>
    <w:rsid w:val="00FB28E2"/>
    <w:rsid w:val="00FB4CC1"/>
    <w:rsid w:val="00FC3641"/>
    <w:rsid w:val="00FC5DE0"/>
    <w:rsid w:val="00FC6A10"/>
    <w:rsid w:val="00FD017E"/>
    <w:rsid w:val="00FD5A1F"/>
    <w:rsid w:val="00FD7DBF"/>
    <w:rsid w:val="00FE45E0"/>
    <w:rsid w:val="00FE7AA6"/>
    <w:rsid w:val="00FF2374"/>
    <w:rsid w:val="00FF3497"/>
    <w:rsid w:val="00FF5D1F"/>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customStyle="1" w:styleId="CommentTextChar">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customStyle="1" w:styleId="CommentSubjectChar">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customStyle="1" w:styleId="FootnoteTextChar">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customStyle="1" w:styleId="apple-converted-space">
    <w:name w:val="apple-converted-space"/>
    <w:basedOn w:val="DefaultParagraphFont"/>
    <w:rsid w:val="0043631D"/>
  </w:style>
  <w:style w:type="table" w:customStyle="1" w:styleId="TableGrid1">
    <w:name w:val="Table Grid1"/>
    <w:basedOn w:val="TableNormal"/>
    <w:next w:val="TableGrid"/>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1135"/>
  </w:style>
  <w:style w:type="character" w:customStyle="1" w:styleId="UnresolvedMention1">
    <w:name w:val="Unresolved Mention1"/>
    <w:basedOn w:val="DefaultParagraphFont"/>
    <w:uiPriority w:val="99"/>
    <w:semiHidden/>
    <w:unhideWhenUsed/>
    <w:rsid w:val="00E70904"/>
    <w:rPr>
      <w:color w:val="605E5C"/>
      <w:shd w:val="clear" w:color="auto" w:fill="E1DFDD"/>
    </w:rPr>
  </w:style>
  <w:style w:type="character" w:styleId="UnresolvedMention">
    <w:name w:val="Unresolved Mention"/>
    <w:basedOn w:val="DefaultParagraphFont"/>
    <w:uiPriority w:val="99"/>
    <w:semiHidden/>
    <w:unhideWhenUsed/>
    <w:rsid w:val="00FD01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29885198">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073088429">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cationcluster.box.com/s/3jymgq0qqh2plhz3dlh8gz3qtj04zuw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cationcluster.box.com/s/3jymgq0qqh2plhz3dlh8gz3qtj04zuw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liefweb.int/sites/reliefweb.int/files/resources/education_cluster_report_on_damage_in_educational_facilities_in_gaza_fina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lp.edcluster@humanitarianresponse.info" TargetMode="External"/><Relationship Id="rId4" Type="http://schemas.openxmlformats.org/officeDocument/2006/relationships/settings" Target="settings.xml"/><Relationship Id="rId9" Type="http://schemas.openxmlformats.org/officeDocument/2006/relationships/hyperlink" Target="https://educationcluster.box.com/s/brpbasj75341ph0raxjpq4hnceu0az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s://educationcluster.box.com/s/n5m5g3gjt7r1xo0qpk9utr70wu81cof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D8065-8118-4223-916D-B3C57778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831</Words>
  <Characters>4738</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Elyse Leonard</cp:lastModifiedBy>
  <cp:revision>18</cp:revision>
  <cp:lastPrinted>2020-02-13T08:37:00Z</cp:lastPrinted>
  <dcterms:created xsi:type="dcterms:W3CDTF">2021-06-24T10:17:00Z</dcterms:created>
  <dcterms:modified xsi:type="dcterms:W3CDTF">2021-08-25T09:33:00Z</dcterms:modified>
</cp:coreProperties>
</file>